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Myanmar</w:t>
      </w:r>
      <w:r>
        <w:t xml:space="preserve"> </w:t>
      </w:r>
      <w:r>
        <w:t xml:space="preserve">Yangon</w:t>
      </w:r>
    </w:p>
    <w:bookmarkStart w:id="30" w:name="purchase-order"/>
    <w:p>
      <w:pPr>
        <w:pStyle w:val="Heading1"/>
      </w:pPr>
      <w:r>
        <w:t xml:space="preserve">PURCHASE ORDER</w:t>
      </w:r>
    </w:p>
    <w:p>
      <w:pPr>
        <w:pStyle w:val="FirstParagraph"/>
      </w:pPr>
      <w:r>
        <w:t xml:space="preserve">Chemist Supply Procurement — Myanmar Yangon</w:t>
      </w:r>
    </w:p>
    <w:bookmarkStart w:id="20" w:name="buyer-chemist"/>
    <w:p>
      <w:pPr>
        <w:pStyle w:val="Heading3"/>
      </w:pPr>
      <w:r>
        <w:t xml:space="preserve">Buyer (Chemist)</w:t>
      </w:r>
    </w:p>
    <w:p>
      <w:pPr>
        <w:pStyle w:val="FirstParagraph"/>
      </w:pPr>
      <w:r>
        <w:rPr>
          <w:bCs/>
          <w:b/>
        </w:rPr>
        <w:t xml:space="preserve">Golden Lotus Chemist &amp; Pharmacy</w:t>
      </w:r>
      <w:r>
        <w:br/>
      </w:r>
      <w:r>
        <w:t xml:space="preserve">No. 47, 26th Street, Kyauktada Township</w:t>
      </w:r>
      <w:r>
        <w:br/>
      </w:r>
      <w:r>
        <w:t xml:space="preserve">Yangon, Myanmar 11181</w:t>
      </w:r>
      <w:r>
        <w:br/>
      </w:r>
      <w:r>
        <w:t xml:space="preserve">Tel: +95-9-795-442-118</w:t>
      </w:r>
      <w:r>
        <w:br/>
      </w:r>
      <w:r>
        <w:t xml:space="preserve">Email: orders@goldenlotuschemist.mm</w:t>
      </w:r>
      <w:r>
        <w:br/>
      </w:r>
      <w:r>
        <w:t xml:space="preserve">Business Registration No: 2019/YGN/04782</w:t>
      </w:r>
      <w:r>
        <w:br/>
      </w:r>
      <w:r>
        <w:t xml:space="preserve">Pharmacy License No: MY-PHARM-2020-03341</w:t>
      </w:r>
    </w:p>
    <w:bookmarkEnd w:id="20"/>
    <w:bookmarkStart w:id="21" w:name="supplier"/>
    <w:p>
      <w:pPr>
        <w:pStyle w:val="Heading3"/>
      </w:pPr>
      <w:r>
        <w:t xml:space="preserve">Supplier</w:t>
      </w:r>
    </w:p>
    <w:p>
      <w:pPr>
        <w:pStyle w:val="FirstParagraph"/>
      </w:pPr>
      <w:r>
        <w:rPr>
          <w:bCs/>
          <w:b/>
        </w:rPr>
        <w:t xml:space="preserve">Asia Pacific Pharmaceutical Distribution Co., Ltd.</w:t>
      </w:r>
      <w:r>
        <w:br/>
      </w:r>
      <w:r>
        <w:t xml:space="preserve">Unit 12, 3rd Floor, Sule Square Business Centre</w:t>
      </w:r>
      <w:r>
        <w:br/>
      </w:r>
      <w:r>
        <w:t xml:space="preserve">No. 123, Sule Road, Kyauktada Township</w:t>
      </w:r>
      <w:r>
        <w:br/>
      </w:r>
      <w:r>
        <w:t xml:space="preserve">Yangon, Myanmar 11181</w:t>
      </w:r>
      <w:r>
        <w:br/>
      </w:r>
      <w:r>
        <w:t xml:space="preserve">Tel: +95-9-456-789-001</w:t>
      </w:r>
      <w:r>
        <w:br/>
      </w:r>
      <w:r>
        <w:t xml:space="preserve">Email: sales@appliedpharma.com.mm</w:t>
      </w:r>
      <w:r>
        <w:br/>
      </w:r>
      <w:r>
        <w:t xml:space="preserve">Tax Registration No: 3010456789</w:t>
      </w:r>
    </w:p>
    <w:bookmarkEnd w:id="21"/>
    <w:p>
      <w:pPr>
        <w:pStyle w:val="BodyText"/>
      </w:pPr>
      <w:r>
        <w:rPr>
          <w:bCs/>
          <w:b/>
        </w:rPr>
        <w:t xml:space="preserve">Purchase Order No:</w:t>
      </w:r>
      <w:r>
        <w:t xml:space="preserve"> </w:t>
      </w:r>
      <w:r>
        <w:t xml:space="preserve">PO-YGN-2025-00847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Golden Lotus Chemist Warehouse, No. 47, 26th Street, Kyauktada Township, Yangon, Myanmar</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Myanmar Kyat (MMK)</w:t>
      </w:r>
    </w:p>
    <w:p>
      <w:pPr>
        <w:pStyle w:val="BodyText"/>
      </w:pPr>
      <w:r>
        <w:rPr>
          <w:bCs/>
          <w:b/>
        </w:rPr>
        <w:t xml:space="preserve">Incoterms:</w:t>
      </w:r>
      <w:r>
        <w:t xml:space="preserve"> </w:t>
      </w:r>
      <w:r>
        <w:t xml:space="preserve">DDP (Delivered Duty Paid) — Yangon, Myanmar</w:t>
      </w:r>
    </w:p>
    <w:bookmarkStart w:id="22" w:name="purpose-of-this-purchase-order"/>
    <w:p>
      <w:pPr>
        <w:pStyle w:val="Heading2"/>
      </w:pPr>
      <w:r>
        <w:t xml:space="preserve">1. Purpose of This Purchase Order</w:t>
      </w:r>
    </w:p>
    <w:p>
      <w:pPr>
        <w:pStyle w:val="FirstParagraph"/>
      </w:pPr>
      <w:r>
        <w:t xml:space="preserve">This Purchase Order is issued by Golden Lotus Chemist &amp; Pharmacy, a licensed retail chemist and pharmacy operating in the Kyauktada Township of Yangon, Myanmar, to Asia Pacific Pharmaceutical Distribution Co., Ltd. This document formally authorizes the supplier to prepare, pack, and deliver the pharmaceutical products, medical supplies, and chemist equipment itemized in Section 3 below. All goods procured under this Purchase Order are intended for resale and dispensing at the Chemist's retail counter and for use in the in-house compounding laboratory located within the same premises in Yangon.</w:t>
      </w:r>
    </w:p>
    <w:bookmarkEnd w:id="22"/>
    <w:bookmarkStart w:id="23" w:name="scope-and-applicability"/>
    <w:p>
      <w:pPr>
        <w:pStyle w:val="Heading2"/>
      </w:pPr>
      <w:r>
        <w:t xml:space="preserve">2. Scope and Applicability</w:t>
      </w:r>
    </w:p>
    <w:p>
      <w:pPr>
        <w:pStyle w:val="FirstParagraph"/>
      </w:pPr>
      <w:r>
        <w:t xml:space="preserve">This Purchase Order governs the procurement of all listed items for the period of June through August 2025. The Chemist acknowledges that all pharmaceutical products must comply with the regulations set forth by the Food and Drug Authority of Myanmar (FDAM) and must carry valid import permits where applicable. The supplier warrants that all goods delivered under this Purchase Order will be in their original, unopened packaging, within their full shelf life (minimum 18 months remaining at the point of delivery to Yangon), and accompanied by complete documentation including certificates of analysis, batch numbers, and import clearance papers.</w:t>
      </w:r>
    </w:p>
    <w:bookmarkEnd w:id="23"/>
    <w:bookmarkStart w:id="24" w:name="itemized-purchase-order-schedule"/>
    <w:p>
      <w:pPr>
        <w:pStyle w:val="Heading2"/>
      </w:pPr>
      <w:r>
        <w:t xml:space="preserve">3. Itemized Purchase Order Schedule</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Batch Ref</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Line Total (MMK)</w:t>
            </w:r>
          </w:p>
        </w:tc>
      </w:tr>
      <w:tr>
        <w:tc>
          <w:tcPr/>
          <w:p>
            <w:pPr>
              <w:pStyle w:val="Compact"/>
              <w:jc w:val="left"/>
            </w:pPr>
            <w:r>
              <w:t xml:space="preserve">1</w:t>
            </w:r>
          </w:p>
        </w:tc>
        <w:tc>
          <w:tcPr/>
          <w:p>
            <w:pPr>
              <w:pStyle w:val="Compact"/>
              <w:jc w:val="left"/>
            </w:pPr>
            <w:r>
              <w:t xml:space="preserve">Amoxicillin 500 mg Capsules (28s) — Oral Antibiotic</w:t>
            </w:r>
          </w:p>
        </w:tc>
        <w:tc>
          <w:tcPr/>
          <w:p>
            <w:pPr>
              <w:pStyle w:val="Compact"/>
              <w:jc w:val="left"/>
            </w:pPr>
            <w:r>
              <w:t xml:space="preserve">APD-AMX-500-28</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12,500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Ibuprofen 400 mg Tablets (30s) — NSAID Analgesic</w:t>
            </w:r>
          </w:p>
        </w:tc>
        <w:tc>
          <w:tcPr/>
          <w:p>
            <w:pPr>
              <w:pStyle w:val="Compact"/>
              <w:jc w:val="left"/>
            </w:pPr>
            <w:r>
              <w:t xml:space="preserve">APD-IBU-400-30</w:t>
            </w:r>
          </w:p>
        </w:tc>
        <w:tc>
          <w:tcPr/>
          <w:p>
            <w:pPr>
              <w:pStyle w:val="Compact"/>
              <w:jc w:val="left"/>
            </w:pPr>
            <w:r>
              <w:t xml:space="preserve">Box</w:t>
            </w:r>
          </w:p>
        </w:tc>
        <w:tc>
          <w:tcPr/>
          <w:p>
            <w:pPr>
              <w:pStyle w:val="Compact"/>
              <w:jc w:val="left"/>
            </w:pPr>
            <w:r>
              <w:t xml:space="preserve">350</w:t>
            </w:r>
          </w:p>
        </w:tc>
        <w:tc>
          <w:tcPr/>
          <w:p>
            <w:pPr>
              <w:pStyle w:val="Compact"/>
              <w:jc w:val="left"/>
            </w:pPr>
            <w:r>
              <w:t xml:space="preserve">8,200</w:t>
            </w:r>
          </w:p>
        </w:tc>
        <w:tc>
          <w:tcPr/>
          <w:p>
            <w:pPr>
              <w:pStyle w:val="Compact"/>
              <w:jc w:val="left"/>
            </w:pPr>
            <w:r>
              <w:t xml:space="preserve">2,870,000</w:t>
            </w:r>
          </w:p>
        </w:tc>
      </w:tr>
      <w:tr>
        <w:tc>
          <w:tcPr/>
          <w:p>
            <w:pPr>
              <w:pStyle w:val="Compact"/>
              <w:jc w:val="left"/>
            </w:pPr>
            <w:r>
              <w:t xml:space="preserve">3</w:t>
            </w:r>
          </w:p>
        </w:tc>
        <w:tc>
          <w:tcPr/>
          <w:p>
            <w:pPr>
              <w:pStyle w:val="Compact"/>
              <w:jc w:val="left"/>
            </w:pPr>
            <w:r>
              <w:t xml:space="preserve">Paracetamol 500 mg Tablets (100s) — General Analgesic</w:t>
            </w:r>
          </w:p>
        </w:tc>
        <w:tc>
          <w:tcPr/>
          <w:p>
            <w:pPr>
              <w:pStyle w:val="Compact"/>
              <w:jc w:val="left"/>
            </w:pPr>
            <w:r>
              <w:t xml:space="preserve">APD-PCM-500-100</w:t>
            </w:r>
          </w:p>
        </w:tc>
        <w:tc>
          <w:tcPr/>
          <w:p>
            <w:pPr>
              <w:pStyle w:val="Compact"/>
              <w:jc w:val="left"/>
            </w:pPr>
            <w:r>
              <w:t xml:space="preserve">Box</w:t>
            </w:r>
          </w:p>
        </w:tc>
        <w:tc>
          <w:tcPr/>
          <w:p>
            <w:pPr>
              <w:pStyle w:val="Compact"/>
              <w:jc w:val="left"/>
            </w:pPr>
            <w:r>
              <w:t xml:space="preserve">500</w:t>
            </w:r>
          </w:p>
        </w:tc>
        <w:tc>
          <w:tcPr/>
          <w:p>
            <w:pPr>
              <w:pStyle w:val="Compact"/>
              <w:jc w:val="left"/>
            </w:pPr>
            <w:r>
              <w:t xml:space="preserve">6,800</w:t>
            </w:r>
          </w:p>
        </w:tc>
        <w:tc>
          <w:tcPr/>
          <w:p>
            <w:pPr>
              <w:pStyle w:val="Compact"/>
              <w:jc w:val="left"/>
            </w:pPr>
            <w:r>
              <w:t xml:space="preserve">3,400,000</w:t>
            </w:r>
          </w:p>
        </w:tc>
      </w:tr>
      <w:tr>
        <w:tc>
          <w:tcPr/>
          <w:p>
            <w:pPr>
              <w:pStyle w:val="Compact"/>
              <w:jc w:val="left"/>
            </w:pPr>
            <w:r>
              <w:t xml:space="preserve">4</w:t>
            </w:r>
          </w:p>
        </w:tc>
        <w:tc>
          <w:tcPr/>
          <w:p>
            <w:pPr>
              <w:pStyle w:val="Compact"/>
              <w:jc w:val="left"/>
            </w:pPr>
            <w:r>
              <w:t xml:space="preserve">Oral Rehydration Salts (ORS) Sachets (20s)</w:t>
            </w:r>
          </w:p>
        </w:tc>
        <w:tc>
          <w:tcPr/>
          <w:p>
            <w:pPr>
              <w:pStyle w:val="Compact"/>
              <w:jc w:val="left"/>
            </w:pPr>
            <w:r>
              <w:t xml:space="preserve">APD-ORS-20</w:t>
            </w:r>
          </w:p>
        </w:tc>
        <w:tc>
          <w:tcPr/>
          <w:p>
            <w:pPr>
              <w:pStyle w:val="Compact"/>
              <w:jc w:val="left"/>
            </w:pPr>
            <w:r>
              <w:t xml:space="preserve">Box</w:t>
            </w:r>
          </w:p>
        </w:tc>
        <w:tc>
          <w:tcPr/>
          <w:p>
            <w:pPr>
              <w:pStyle w:val="Compact"/>
              <w:jc w:val="left"/>
            </w:pPr>
            <w:r>
              <w:t xml:space="preserve">400</w:t>
            </w:r>
          </w:p>
        </w:tc>
        <w:tc>
          <w:tcPr/>
          <w:p>
            <w:pPr>
              <w:pStyle w:val="Compact"/>
              <w:jc w:val="left"/>
            </w:pPr>
            <w:r>
              <w:t xml:space="preserve">4,500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Digoxin 0.25 mg Tablets (30s) — Cardiac Glycoside</w:t>
            </w:r>
          </w:p>
        </w:tc>
        <w:tc>
          <w:tcPr/>
          <w:p>
            <w:pPr>
              <w:pStyle w:val="Compact"/>
              <w:jc w:val="left"/>
            </w:pPr>
            <w:r>
              <w:t xml:space="preserve">APD-DGX-025-30</w:t>
            </w:r>
          </w:p>
        </w:tc>
        <w:tc>
          <w:tcPr/>
          <w:p>
            <w:pPr>
              <w:pStyle w:val="Compact"/>
              <w:jc w:val="left"/>
            </w:pPr>
            <w:r>
              <w:t xml:space="preserve">Box</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6</w:t>
            </w:r>
          </w:p>
        </w:tc>
        <w:tc>
          <w:tcPr/>
          <w:p>
            <w:pPr>
              <w:pStyle w:val="Compact"/>
              <w:jc w:val="left"/>
            </w:pPr>
            <w:r>
              <w:t xml:space="preserve">Insulin Glargine 100 IU/mL Pen (3 mL) — Refrigerated</w:t>
            </w:r>
          </w:p>
        </w:tc>
        <w:tc>
          <w:tcPr/>
          <w:p>
            <w:pPr>
              <w:pStyle w:val="Compact"/>
              <w:jc w:val="left"/>
            </w:pPr>
            <w:r>
              <w:t xml:space="preserve">APD-INS-GLA-100</w:t>
            </w:r>
          </w:p>
        </w:tc>
        <w:tc>
          <w:tcPr/>
          <w:p>
            <w:pPr>
              <w:pStyle w:val="Compact"/>
              <w:jc w:val="left"/>
            </w:pPr>
            <w:r>
              <w:t xml:space="preserve">Pen</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Sterile Gauze Pads 10×10 cm (10s) — Wound Care</w:t>
            </w:r>
          </w:p>
        </w:tc>
        <w:tc>
          <w:tcPr/>
          <w:p>
            <w:pPr>
              <w:pStyle w:val="Compact"/>
              <w:jc w:val="left"/>
            </w:pPr>
            <w:r>
              <w:t xml:space="preserve">APD-GAU-1010-10</w:t>
            </w:r>
          </w:p>
        </w:tc>
        <w:tc>
          <w:tcPr/>
          <w:p>
            <w:pPr>
              <w:pStyle w:val="Compact"/>
              <w:jc w:val="left"/>
            </w:pPr>
            <w:r>
              <w:t xml:space="preserve">Pack</w:t>
            </w:r>
          </w:p>
        </w:tc>
        <w:tc>
          <w:tcPr/>
          <w:p>
            <w:pPr>
              <w:pStyle w:val="Compact"/>
              <w:jc w:val="left"/>
            </w:pPr>
            <w:r>
              <w:t xml:space="preserve">600</w:t>
            </w:r>
          </w:p>
        </w:tc>
        <w:tc>
          <w:tcPr/>
          <w:p>
            <w:pPr>
              <w:pStyle w:val="Compact"/>
              <w:jc w:val="left"/>
            </w:pPr>
            <w:r>
              <w:t xml:space="preserve">2,800</w:t>
            </w:r>
          </w:p>
        </w:tc>
        <w:tc>
          <w:tcPr/>
          <w:p>
            <w:pPr>
              <w:pStyle w:val="Compact"/>
              <w:jc w:val="left"/>
            </w:pPr>
            <w:r>
              <w:t xml:space="preserve">1,680,000</w:t>
            </w:r>
          </w:p>
        </w:tc>
      </w:tr>
      <w:tr>
        <w:tc>
          <w:tcPr/>
          <w:p>
            <w:pPr>
              <w:pStyle w:val="Compact"/>
              <w:jc w:val="left"/>
            </w:pPr>
            <w:r>
              <w:t xml:space="preserve">8</w:t>
            </w:r>
          </w:p>
        </w:tc>
        <w:tc>
          <w:tcPr/>
          <w:p>
            <w:pPr>
              <w:pStyle w:val="Compact"/>
              <w:jc w:val="left"/>
            </w:pPr>
            <w:r>
              <w:t xml:space="preserve">Nitrile Examination Gloves, Medium (100s)</w:t>
            </w:r>
          </w:p>
        </w:tc>
        <w:tc>
          <w:tcPr/>
          <w:p>
            <w:pPr>
              <w:pStyle w:val="Compact"/>
              <w:jc w:val="left"/>
            </w:pPr>
            <w:r>
              <w:t xml:space="preserve">APD-GLV-NIT-M-100</w:t>
            </w:r>
          </w:p>
        </w:tc>
        <w:tc>
          <w:tcPr/>
          <w:p>
            <w:pPr>
              <w:pStyle w:val="Compact"/>
              <w:jc w:val="left"/>
            </w:pPr>
            <w:r>
              <w:t xml:space="preserve">Box</w:t>
            </w:r>
          </w:p>
        </w:tc>
        <w:tc>
          <w:tcPr/>
          <w:p>
            <w:pPr>
              <w:pStyle w:val="Compact"/>
              <w:jc w:val="left"/>
            </w:pPr>
            <w:r>
              <w:t xml:space="preserve">300</w:t>
            </w:r>
          </w:p>
        </w:tc>
        <w:tc>
          <w:tcPr/>
          <w:p>
            <w:pPr>
              <w:pStyle w:val="Compact"/>
              <w:jc w:val="left"/>
            </w:pPr>
            <w:r>
              <w:t xml:space="preserve">5,500</w:t>
            </w:r>
          </w:p>
        </w:tc>
        <w:tc>
          <w:tcPr/>
          <w:p>
            <w:pPr>
              <w:pStyle w:val="Compact"/>
              <w:jc w:val="left"/>
            </w:pPr>
            <w:r>
              <w:t xml:space="preserve">1,650,000</w:t>
            </w:r>
          </w:p>
        </w:tc>
      </w:tr>
      <w:tr>
        <w:tc>
          <w:tcPr/>
          <w:p>
            <w:pPr>
              <w:pStyle w:val="Compact"/>
              <w:jc w:val="left"/>
            </w:pPr>
            <w:r>
              <w:t xml:space="preserve">9</w:t>
            </w:r>
          </w:p>
        </w:tc>
        <w:tc>
          <w:tcPr/>
          <w:p>
            <w:pPr>
              <w:pStyle w:val="Compact"/>
              <w:jc w:val="left"/>
            </w:pPr>
            <w:r>
              <w:t xml:space="preserve">Digital Thermometer (Clinical Grade, ±0.1°C)</w:t>
            </w:r>
          </w:p>
        </w:tc>
        <w:tc>
          <w:tcPr/>
          <w:p>
            <w:pPr>
              <w:pStyle w:val="Compact"/>
              <w:jc w:val="left"/>
            </w:pPr>
            <w:r>
              <w:t xml:space="preserve">APD-THM-DIG-01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900,000</w:t>
            </w:r>
          </w:p>
        </w:tc>
      </w:tr>
      <w:tr>
        <w:tc>
          <w:tcPr/>
          <w:p>
            <w:pPr>
              <w:pStyle w:val="Compact"/>
              <w:jc w:val="left"/>
            </w:pPr>
            <w:r>
              <w:t xml:space="preserve">10</w:t>
            </w:r>
          </w:p>
        </w:tc>
        <w:tc>
          <w:tcPr/>
          <w:p>
            <w:pPr>
              <w:pStyle w:val="Compact"/>
              <w:jc w:val="left"/>
            </w:pPr>
            <w:r>
              <w:t xml:space="preserve">Mercury-Free Blood Pressure Monitor (Upper Arm)</w:t>
            </w:r>
          </w:p>
        </w:tc>
        <w:tc>
          <w:tcPr/>
          <w:p>
            <w:pPr>
              <w:pStyle w:val="Compact"/>
              <w:jc w:val="left"/>
            </w:pPr>
            <w:r>
              <w:t xml:space="preserve">APD-BPM-UA-02</w:t>
            </w:r>
          </w:p>
        </w:tc>
        <w:tc>
          <w:tcPr/>
          <w:p>
            <w:pPr>
              <w:pStyle w:val="Compact"/>
              <w:jc w:val="left"/>
            </w:pPr>
            <w:r>
              <w:t xml:space="preserve">Unit</w:t>
            </w:r>
          </w:p>
        </w:tc>
        <w:tc>
          <w:tcPr/>
          <w:p>
            <w:pPr>
              <w:pStyle w:val="Compact"/>
              <w:jc w:val="left"/>
            </w:pPr>
            <w:r>
              <w:t xml:space="preserve">25</w:t>
            </w:r>
          </w:p>
        </w:tc>
        <w:tc>
          <w:tcPr/>
          <w:p>
            <w:pPr>
              <w:pStyle w:val="Compact"/>
              <w:jc w:val="left"/>
            </w:pPr>
            <w:r>
              <w:t xml:space="preserve">55,000</w:t>
            </w:r>
          </w:p>
        </w:tc>
        <w:tc>
          <w:tcPr/>
          <w:p>
            <w:pPr>
              <w:pStyle w:val="Compact"/>
              <w:jc w:val="left"/>
            </w:pPr>
            <w:r>
              <w:t xml:space="preserve">1,375,000</w:t>
            </w:r>
          </w:p>
        </w:tc>
      </w:tr>
      <w:tr>
        <w:tc>
          <w:tcPr/>
          <w:p>
            <w:pPr>
              <w:pStyle w:val="Compact"/>
              <w:jc w:val="left"/>
            </w:pPr>
            <w:r>
              <w:t xml:space="preserve">11</w:t>
            </w:r>
          </w:p>
        </w:tc>
        <w:tc>
          <w:tcPr/>
          <w:p>
            <w:pPr>
              <w:pStyle w:val="Compact"/>
              <w:jc w:val="left"/>
            </w:pPr>
            <w:r>
              <w:t xml:space="preserve">Pharmaceutical Compounding Mortar &amp; Pestle Set (Porcelain)</w:t>
            </w:r>
          </w:p>
        </w:tc>
        <w:tc>
          <w:tcPr/>
          <w:p>
            <w:pPr>
              <w:pStyle w:val="Compact"/>
              <w:jc w:val="left"/>
            </w:pPr>
            <w:r>
              <w:t xml:space="preserve">APD-MPT-CEL-01</w:t>
            </w:r>
          </w:p>
        </w:tc>
        <w:tc>
          <w:tcPr/>
          <w:p>
            <w:pPr>
              <w:pStyle w:val="Compact"/>
              <w:jc w:val="left"/>
            </w:pPr>
            <w:r>
              <w:t xml:space="preserve">Set</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12</w:t>
            </w:r>
          </w:p>
        </w:tc>
        <w:tc>
          <w:tcPr/>
          <w:p>
            <w:pPr>
              <w:pStyle w:val="Compact"/>
              <w:jc w:val="left"/>
            </w:pPr>
            <w:r>
              <w:t xml:space="preserve">Refrigerated Vaccine Storage Unit (150 L, 2–8°C)</w:t>
            </w:r>
          </w:p>
        </w:tc>
        <w:tc>
          <w:tcPr/>
          <w:p>
            <w:pPr>
              <w:pStyle w:val="Compact"/>
              <w:jc w:val="left"/>
            </w:pPr>
            <w:r>
              <w:t xml:space="preserve">APD-REF-150-01</w:t>
            </w:r>
          </w:p>
        </w:tc>
        <w:tc>
          <w:tcPr/>
          <w:p>
            <w:pPr>
              <w:pStyle w:val="Compact"/>
              <w:jc w:val="left"/>
            </w:pPr>
            <w:r>
              <w:t xml:space="preserve">Unit</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gridSpan w:val="6"/>
          </w:tcPr>
          <w:p>
            <w:pPr>
              <w:pStyle w:val="Compact"/>
              <w:jc w:val="right"/>
            </w:pPr>
            <w:r>
              <w:t xml:space="preserve">Subtotal</w:t>
            </w:r>
          </w:p>
        </w:tc>
        <w:tc>
          <w:tcPr/>
          <w:p>
            <w:pPr>
              <w:pStyle w:val="Compact"/>
              <w:jc w:val="left"/>
            </w:pPr>
            <w:r>
              <w:t xml:space="preserve">25,355,000</w:t>
            </w:r>
          </w:p>
        </w:tc>
      </w:tr>
      <w:tr>
        <w:tc>
          <w:tcPr>
            <w:gridSpan w:val="6"/>
          </w:tcPr>
          <w:p>
            <w:pPr>
              <w:pStyle w:val="Compact"/>
              <w:jc w:val="right"/>
            </w:pPr>
            <w:r>
              <w:t xml:space="preserve">VAT (5%)</w:t>
            </w:r>
          </w:p>
        </w:tc>
        <w:tc>
          <w:tcPr/>
          <w:p>
            <w:pPr>
              <w:pStyle w:val="Compact"/>
              <w:jc w:val="left"/>
            </w:pPr>
            <w:r>
              <w:t xml:space="preserve">1,267,750</w:t>
            </w:r>
          </w:p>
        </w:tc>
      </w:tr>
      <w:tr>
        <w:tc>
          <w:tcPr>
            <w:gridSpan w:val="6"/>
          </w:tcPr>
          <w:p>
            <w:pPr>
              <w:pStyle w:val="Compact"/>
              <w:jc w:val="right"/>
            </w:pPr>
            <w:r>
              <w:t xml:space="preserve">Delivery &amp; Handling (Yangon Metro)</w:t>
            </w:r>
          </w:p>
        </w:tc>
        <w:tc>
          <w:tcPr/>
          <w:p>
            <w:pPr>
              <w:pStyle w:val="Compact"/>
              <w:jc w:val="left"/>
            </w:pPr>
            <w:r>
              <w:t xml:space="preserve">350,000</w:t>
            </w:r>
          </w:p>
        </w:tc>
      </w:tr>
      <w:tr>
        <w:tc>
          <w:tcPr>
            <w:gridSpan w:val="6"/>
          </w:tcPr>
          <w:p>
            <w:pPr>
              <w:pStyle w:val="Compact"/>
              <w:jc w:val="right"/>
            </w:pPr>
            <w:r>
              <w:rPr>
                <w:bCs/>
                <w:b/>
              </w:rPr>
              <w:t xml:space="preserve">Grand Total (MMK)</w:t>
            </w:r>
          </w:p>
        </w:tc>
        <w:tc>
          <w:tcPr/>
          <w:p>
            <w:pPr>
              <w:pStyle w:val="Compact"/>
              <w:jc w:val="left"/>
            </w:pPr>
            <w:r>
              <w:rPr>
                <w:bCs/>
                <w:b/>
              </w:rPr>
              <w:t xml:space="preserve">26,972,750</w:t>
            </w:r>
          </w:p>
        </w:tc>
      </w:tr>
    </w:tbl>
    <w:bookmarkEnd w:id="24"/>
    <w:bookmarkStart w:id="25" w:name="delivery-and-logistics-requirements"/>
    <w:p>
      <w:pPr>
        <w:pStyle w:val="Heading2"/>
      </w:pPr>
      <w:r>
        <w:t xml:space="preserve">4. Delivery and Logistics Requirements</w:t>
      </w:r>
    </w:p>
    <w:p>
      <w:pPr>
        <w:pStyle w:val="FirstParagraph"/>
      </w:pPr>
      <w:r>
        <w:t xml:space="preserve">The supplier shall deliver all goods listed in this Purchase Order to the Chemist's designated warehouse at No. 47, 26th Street, Kyauktada Township, Yangon, Myanmar, no later than 29 June 2025. Delivery must be made between the hours of 08:00 and 16:00 Myanmar Standard Time (MST, UTC+6:30). The supplier is responsible for arranging cold-chain transport for all temperature-sensitive items, including the Insulin Glargine Pens (Line 6) and the Refrigerated Vaccine Storage Units (Line 12). Temperature loggers must be included in the shipment, and a copy of the temperature record must be presented to the Chemist's receiving officer upon delivery. The supplier bears all risk of loss or damage until the goods are signed for at the Chemist's premises in Yangon.</w:t>
      </w:r>
    </w:p>
    <w:bookmarkEnd w:id="25"/>
    <w:bookmarkStart w:id="26" w:name="payment-and-financial-terms"/>
    <w:p>
      <w:pPr>
        <w:pStyle w:val="Heading2"/>
      </w:pPr>
      <w:r>
        <w:t xml:space="preserve">5. Payment and Financial Terms</w:t>
      </w:r>
    </w:p>
    <w:p>
      <w:pPr>
        <w:pStyle w:val="FirstParagraph"/>
      </w:pPr>
      <w:r>
        <w:t xml:space="preserve">Payment for this Purchase Order shall be made by bank transfer to the supplier's designated account within thirty (30) calendar days of the date of the supplier's invoice, provided that all goods have been received, inspected, and accepted by the Chemist without discrepancy. The Chemist reserves the right to withhold payment for any line item that fails to meet the quality, quantity, or regulatory compliance standards specified herein. All amounts are quoted in Myanmar Kyat (MMK) and are inclusive of applicable taxes unless otherwise stated. Late payment beyond the stipulated period shall incur a penalty of 1.5% per month on the outstanding balance.</w:t>
      </w:r>
    </w:p>
    <w:bookmarkEnd w:id="26"/>
    <w:bookmarkStart w:id="27" w:name="X1e9311bf62a98d878286e85ce65a3eb3de8329f"/>
    <w:p>
      <w:pPr>
        <w:pStyle w:val="Heading2"/>
      </w:pPr>
      <w:r>
        <w:t xml:space="preserve">6. Quality Assurance and Regulatory Compliance</w:t>
      </w:r>
    </w:p>
    <w:p>
      <w:pPr>
        <w:pStyle w:val="FirstParagraph"/>
      </w:pPr>
      <w:r>
        <w:t xml:space="preserve">All pharmaceutical products procured under this Purchase Order must be registered with the Food and Drug Authority of Myanmar (FDAM) and must bear valid import permits. The Chemist, operating under Pharmacy License No. MY-PHARM-2020-03341 in Yangon, requires that each shipment be accompanied by a Certificate of Analysis (CoA), a Certificate of Free Sale (CFS) where applicable, and a detailed packing list. The supplier guarantees that no expired, substandard, or counterfeit products will be included in the delivery. The Chemist reserves the right to reject any non-conforming goods at the point of delivery in Yangon, and the supplier shall replace rejected items within five (5) business days at no additional cost.</w:t>
      </w:r>
    </w:p>
    <w:bookmarkEnd w:id="27"/>
    <w:bookmarkStart w:id="28" w:name="terms-and-conditions"/>
    <w:p>
      <w:pPr>
        <w:pStyle w:val="Heading2"/>
      </w:pPr>
      <w:r>
        <w:t xml:space="preserve">7. Terms and Conditions</w:t>
      </w:r>
    </w:p>
    <w:p>
      <w:pPr>
        <w:pStyle w:val="FirstParagraph"/>
      </w:pPr>
      <w:r>
        <w:t xml:space="preserve">This Purchase Order is governed by the laws of the Republic of the Union of Myanmar. Any disputes arising from this Purchase Order shall be resolved through negotiation between the Chemist and the supplier, and if unresolved, shall be submitted to the Yangon District Court for adjudication. The supplier shall maintain adequate product liability insurance covering all goods in transit and in storage within Myanmar. Neither party shall be liable for delays caused by force majeure events, including but not limited to natural disasters, government-imposed restrictions, or public health emergencies affecting operations in Yangon or elsewhere in Myanmar.</w:t>
      </w:r>
    </w:p>
    <w:bookmarkEnd w:id="28"/>
    <w:bookmarkStart w:id="29" w:name="authorization-and-signatures"/>
    <w:p>
      <w:pPr>
        <w:pStyle w:val="Heading2"/>
      </w:pPr>
      <w:r>
        <w:t xml:space="preserve">8. Authorization and Signatures</w:t>
      </w:r>
    </w:p>
    <w:p>
      <w:pPr>
        <w:pStyle w:val="FirstParagraph"/>
      </w:pPr>
      <w:r>
        <w:rPr>
          <w:bCs/>
          <w:b/>
        </w:rPr>
        <w:t xml:space="preserve">For and on behalf of the Chemist (Buyer):</w:t>
      </w:r>
    </w:p>
    <w:p>
      <w:pPr>
        <w:pStyle w:val="BodyText"/>
      </w:pPr>
      <w:r>
        <w:rPr>
          <w:bCs/>
          <w:b/>
        </w:rPr>
        <w:t xml:space="preserve">Dr. Aung Kyaw Min, Pharm.D.</w:t>
      </w:r>
      <w:r>
        <w:br/>
      </w:r>
      <w:r>
        <w:t xml:space="preserve">Owner &amp; Licensed Pharmacist</w:t>
      </w:r>
      <w:r>
        <w:br/>
      </w:r>
      <w:r>
        <w:t xml:space="preserve">Golden Lotus Chemist &amp; Pharmacy, Yangon</w:t>
      </w:r>
      <w:r>
        <w:br/>
      </w:r>
      <w:r>
        <w:t xml:space="preserve">Date: _______________</w:t>
      </w:r>
    </w:p>
    <w:p>
      <w:pPr>
        <w:pStyle w:val="BodyText"/>
      </w:pPr>
      <w:r>
        <w:rPr>
          <w:bCs/>
          <w:b/>
        </w:rPr>
        <w:t xml:space="preserve">For and on behalf of the Supplier:</w:t>
      </w:r>
    </w:p>
    <w:p>
      <w:pPr>
        <w:pStyle w:val="BodyText"/>
      </w:pPr>
      <w:r>
        <w:rPr>
          <w:bCs/>
          <w:b/>
        </w:rPr>
        <w:t xml:space="preserve">U. Thura Zaw Win</w:t>
      </w:r>
      <w:r>
        <w:br/>
      </w:r>
      <w:r>
        <w:t xml:space="preserve">Sales &amp; Distribution Manager</w:t>
      </w:r>
      <w:r>
        <w:br/>
      </w:r>
      <w:r>
        <w:t xml:space="preserve">Asia Pacific Pharmaceutical Distribution Co., Ltd.</w:t>
      </w:r>
      <w:r>
        <w:br/>
      </w:r>
      <w:r>
        <w:t xml:space="preserve">Date: _______________</w:t>
      </w:r>
    </w:p>
    <w:p>
      <w:pPr>
        <w:pStyle w:val="BodyText"/>
      </w:pPr>
      <w:r>
        <w:rPr>
          <w:bCs/>
          <w:b/>
        </w:rPr>
        <w:t xml:space="preserve">NOTE:</w:t>
      </w:r>
      <w:r>
        <w:t xml:space="preserve"> </w:t>
      </w:r>
      <w:r>
        <w:t xml:space="preserve">This Purchase Order (PO-YGN-2025-00847) is valid for a period of thirty (30) days from the date of issue. The Chemist reserves the right to amend, cancel, or extend this Purchase Order in writing. All communications regarding this Purchase Order must be directed to the Chemist's procurement office at the address listed above in Yangon, Myanmar. This document constitutes a legally binding agreement upon signature by both parties.</w:t>
      </w:r>
    </w:p>
    <w:p>
      <w:pPr>
        <w:pStyle w:val="BodyText"/>
      </w:pPr>
      <w:r>
        <w:t xml:space="preserve">Golden Lotus Chemist &amp; Pharmacy — No. 47, 26th Street, Kyauktada Township, Yangon, Myanmar — PO-YGN-2025-00847 — Page 1 of 1</w:t>
      </w:r>
    </w:p>
    <w:p>
      <w:pPr>
        <w:pStyle w:val="BodyText"/>
      </w:pPr>
      <w:r>
        <w:t xml:space="preserve">Document generated for internal procurement records. Unauthorized reproduction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Myanmar Yangon</dc:title>
  <dc:creator/>
  <dc:language>en</dc:language>
  <cp:keywords/>
  <dcterms:created xsi:type="dcterms:W3CDTF">2026-10-10T01:15:10Z</dcterms:created>
  <dcterms:modified xsi:type="dcterms:W3CDTF">2026-10-10T01:15:10Z</dcterms:modified>
</cp:coreProperties>
</file>

<file path=docProps/custom.xml><?xml version="1.0" encoding="utf-8"?>
<Properties xmlns="http://schemas.openxmlformats.org/officeDocument/2006/custom-properties" xmlns:vt="http://schemas.openxmlformats.org/officeDocument/2006/docPropsVTypes"/>
</file>