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Chemist</w:t>
      </w:r>
      <w:r>
        <w:t xml:space="preserve"> </w:t>
      </w:r>
      <w:r>
        <w:t xml:space="preserve">Supply</w:t>
      </w:r>
      <w:r>
        <w:t xml:space="preserve"> </w:t>
      </w:r>
      <w:r>
        <w:t xml:space="preserve">-</w:t>
      </w:r>
      <w:r>
        <w:t xml:space="preserve"> </w:t>
      </w:r>
      <w:r>
        <w:t xml:space="preserve">Nepal</w:t>
      </w:r>
      <w:r>
        <w:t xml:space="preserve"> </w:t>
      </w:r>
      <w:r>
        <w:t xml:space="preserve">Kathmandu</w:t>
      </w:r>
    </w:p>
    <w:bookmarkStart w:id="20" w:name="purchase-order"/>
    <w:p>
      <w:pPr>
        <w:pStyle w:val="Heading1"/>
      </w:pPr>
      <w:r>
        <w:t xml:space="preserve">PURCHASE ORDER</w:t>
      </w:r>
    </w:p>
    <w:p>
      <w:pPr>
        <w:pStyle w:val="FirstParagraph"/>
      </w:pPr>
      <w:r>
        <w:t xml:space="preserve">Chemist Supply Procurement — Nepal Kathmandu Region</w:t>
      </w:r>
    </w:p>
    <w:bookmarkEnd w:id="20"/>
    <w:p>
      <w:pPr>
        <w:pStyle w:val="BodyText"/>
      </w:pPr>
      <w:r>
        <w:t xml:space="preserve">Purchase Order No.</w:t>
      </w:r>
    </w:p>
    <w:p>
      <w:pPr>
        <w:pStyle w:val="BodyText"/>
      </w:pPr>
      <w:r>
        <w:t xml:space="preserve">PO-NK-2025-04782</w:t>
      </w:r>
    </w:p>
    <w:p>
      <w:pPr>
        <w:pStyle w:val="BodyText"/>
      </w:pPr>
      <w:r>
        <w:t xml:space="preserve">Date of Issue</w:t>
      </w:r>
    </w:p>
    <w:p>
      <w:pPr>
        <w:pStyle w:val="BodyText"/>
      </w:pPr>
      <w:r>
        <w:t xml:space="preserve">15 June 2025</w:t>
      </w:r>
    </w:p>
    <w:p>
      <w:pPr>
        <w:pStyle w:val="BodyText"/>
      </w:pPr>
      <w:r>
        <w:t xml:space="preserve">Delivery Deadline</w:t>
      </w:r>
    </w:p>
    <w:p>
      <w:pPr>
        <w:pStyle w:val="BodyText"/>
      </w:pPr>
      <w:r>
        <w:t xml:space="preserve">30 June 2025</w:t>
      </w:r>
    </w:p>
    <w:p>
      <w:pPr>
        <w:pStyle w:val="BodyText"/>
      </w:pPr>
      <w:r>
        <w:t xml:space="preserve">Currency</w:t>
      </w:r>
    </w:p>
    <w:p>
      <w:pPr>
        <w:pStyle w:val="BodyText"/>
      </w:pPr>
      <w:r>
        <w:t xml:space="preserve">Nepalese Rupees (NPR)</w:t>
      </w:r>
    </w:p>
    <w:p>
      <w:pPr>
        <w:pStyle w:val="BodyText"/>
      </w:pPr>
      <w:r>
        <w:t xml:space="preserve">Parties Involved</w:t>
      </w:r>
    </w:p>
    <w:bookmarkStart w:id="21" w:name="buyer-purchasing-entity"/>
    <w:p>
      <w:pPr>
        <w:pStyle w:val="Heading3"/>
      </w:pPr>
      <w:r>
        <w:t xml:space="preserve">Buyer (Purchasing Entity)</w:t>
      </w:r>
    </w:p>
    <w:p>
      <w:pPr>
        <w:pStyle w:val="FirstParagraph"/>
      </w:pPr>
      <w:r>
        <w:rPr>
          <w:bCs/>
          <w:b/>
        </w:rPr>
        <w:t xml:space="preserve">Himalayan Research &amp; Analytical Laboratories Pvt. Ltd.</w:t>
      </w:r>
    </w:p>
    <w:p>
      <w:pPr>
        <w:pStyle w:val="BodyText"/>
      </w:pPr>
      <w:r>
        <w:t xml:space="preserve">Plot No. 47, New Baneshwor Marg</w:t>
      </w:r>
    </w:p>
    <w:p>
      <w:pPr>
        <w:pStyle w:val="BodyText"/>
      </w:pPr>
      <w:r>
        <w:t xml:space="preserve">Kathmandu, Nepal</w:t>
      </w:r>
    </w:p>
    <w:p>
      <w:pPr>
        <w:pStyle w:val="BodyText"/>
      </w:pPr>
      <w:r>
        <w:t xml:space="preserve">VAT Reg. No.: 80123456-789</w:t>
      </w:r>
    </w:p>
    <w:p>
      <w:pPr>
        <w:pStyle w:val="BodyText"/>
      </w:pPr>
      <w:r>
        <w:t xml:space="preserve">Contact: procurement@himalayanlabs.com.np</w:t>
      </w:r>
    </w:p>
    <w:p>
      <w:pPr>
        <w:pStyle w:val="BodyText"/>
      </w:pPr>
      <w:r>
        <w:t xml:space="preserve">Phone: +977-1-4765230</w:t>
      </w:r>
    </w:p>
    <w:bookmarkEnd w:id="21"/>
    <w:bookmarkStart w:id="22" w:name="supplier-chemist"/>
    <w:p>
      <w:pPr>
        <w:pStyle w:val="Heading3"/>
      </w:pPr>
      <w:r>
        <w:t xml:space="preserve">Supplier (Chemist)</w:t>
      </w:r>
    </w:p>
    <w:p>
      <w:pPr>
        <w:pStyle w:val="FirstParagraph"/>
      </w:pPr>
      <w:r>
        <w:rPr>
          <w:bCs/>
          <w:b/>
        </w:rPr>
        <w:t xml:space="preserve">Shree Anand Chemist &amp; Pharmaceutical Supplies</w:t>
      </w:r>
    </w:p>
    <w:p>
      <w:pPr>
        <w:pStyle w:val="BodyText"/>
      </w:pPr>
      <w:r>
        <w:t xml:space="preserve">Ring Road, Balaju, Kathmandu</w:t>
      </w:r>
    </w:p>
    <w:p>
      <w:pPr>
        <w:pStyle w:val="BodyText"/>
      </w:pPr>
      <w:r>
        <w:t xml:space="preserve">Nepal — Kathmandu Valley</w:t>
      </w:r>
    </w:p>
    <w:p>
      <w:pPr>
        <w:pStyle w:val="BodyText"/>
      </w:pPr>
      <w:r>
        <w:t xml:space="preserve">License No.: CHEM-NP-2019-00342</w:t>
      </w:r>
    </w:p>
    <w:p>
      <w:pPr>
        <w:pStyle w:val="BodyText"/>
      </w:pPr>
      <w:r>
        <w:t xml:space="preserve">Contact: sales@shreeanandchemist.com.np</w:t>
      </w:r>
    </w:p>
    <w:p>
      <w:pPr>
        <w:pStyle w:val="BodyText"/>
      </w:pPr>
      <w:r>
        <w:t xml:space="preserve">Phone: +977-1-5543871</w:t>
      </w:r>
    </w:p>
    <w:bookmarkEnd w:id="22"/>
    <w:p>
      <w:pPr>
        <w:pStyle w:val="BodyText"/>
      </w:pPr>
      <w:r>
        <w:t xml:space="preserve">Order Details — Chemist Supply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(NPR)</w:t>
            </w:r>
          </w:p>
        </w:tc>
        <w:tc>
          <w:tcPr/>
          <w:p>
            <w:pPr>
              <w:pStyle w:val="Compact"/>
              <w:jc w:val="left"/>
            </w:pPr>
            <w:r>
              <w:t xml:space="preserve">Amount (NPR)</w:t>
            </w:r>
          </w:p>
        </w:tc>
      </w:tr>
      <w:tr>
        <w:tc>
          <w:tcPr/>
          <w:p>
            <w:pPr>
              <w:pStyle w:val="Compact"/>
              <w:jc w:val="left"/>
            </w:pPr>
            <w:r>
              <w:t xml:space="preserve">01</w:t>
            </w:r>
          </w:p>
        </w:tc>
        <w:tc>
          <w:tcPr/>
          <w:p>
            <w:pPr>
              <w:pStyle w:val="Compact"/>
              <w:jc w:val="left"/>
            </w:pPr>
            <w:r>
              <w:t xml:space="preserve">Analytical Grade Sodium Hydroxide (NaOH), 500g bottles — supplied by Chemist partner</w:t>
            </w:r>
          </w:p>
        </w:tc>
        <w:tc>
          <w:tcPr/>
          <w:p>
            <w:pPr>
              <w:pStyle w:val="Compact"/>
              <w:jc w:val="left"/>
            </w:pPr>
            <w:r>
              <w:t xml:space="preserve">24</w:t>
            </w:r>
          </w:p>
        </w:tc>
        <w:tc>
          <w:tcPr/>
          <w:p>
            <w:pPr>
              <w:pStyle w:val="Compact"/>
              <w:jc w:val="left"/>
            </w:pPr>
            <w:r>
              <w:t xml:space="preserve">Bottles</w:t>
            </w:r>
          </w:p>
        </w:tc>
        <w:tc>
          <w:tcPr/>
          <w:p>
            <w:pPr>
              <w:pStyle w:val="Compact"/>
              <w:jc w:val="left"/>
            </w:pPr>
            <w:r>
              <w:t xml:space="preserve">1,850.00</w:t>
            </w:r>
          </w:p>
        </w:tc>
        <w:tc>
          <w:tcPr/>
          <w:p>
            <w:pPr>
              <w:pStyle w:val="Compact"/>
              <w:jc w:val="left"/>
            </w:pPr>
            <w:r>
              <w:t xml:space="preserve">44,400.00</w:t>
            </w:r>
          </w:p>
        </w:tc>
      </w:tr>
      <w:tr>
        <w:tc>
          <w:tcPr/>
          <w:p>
            <w:pPr>
              <w:pStyle w:val="Compact"/>
              <w:jc w:val="left"/>
            </w:pPr>
            <w:r>
              <w:t xml:space="preserve">02</w:t>
            </w:r>
          </w:p>
        </w:tc>
        <w:tc>
          <w:tcPr/>
          <w:p>
            <w:pPr>
              <w:pStyle w:val="Compact"/>
              <w:jc w:val="left"/>
            </w:pPr>
            <w:r>
              <w:t xml:space="preserve">Distilled Water, 5-litre containers, pharmaceutical grade</w:t>
            </w:r>
          </w:p>
        </w:tc>
        <w:tc>
          <w:tcPr/>
          <w:p>
            <w:pPr>
              <w:pStyle w:val="Compact"/>
              <w:jc w:val="left"/>
            </w:pPr>
            <w:r>
              <w:t xml:space="preserve">40</w:t>
            </w:r>
          </w:p>
        </w:tc>
        <w:tc>
          <w:tcPr/>
          <w:p>
            <w:pPr>
              <w:pStyle w:val="Compact"/>
              <w:jc w:val="left"/>
            </w:pPr>
            <w:r>
              <w:t xml:space="preserve">Containers</w:t>
            </w:r>
          </w:p>
        </w:tc>
        <w:tc>
          <w:tcPr/>
          <w:p>
            <w:pPr>
              <w:pStyle w:val="Compact"/>
              <w:jc w:val="left"/>
            </w:pPr>
            <w:r>
              <w:t xml:space="preserve">620.00</w:t>
            </w:r>
          </w:p>
        </w:tc>
        <w:tc>
          <w:tcPr/>
          <w:p>
            <w:pPr>
              <w:pStyle w:val="Compact"/>
              <w:jc w:val="left"/>
            </w:pPr>
            <w:r>
              <w:t xml:space="preserve">24,800.00</w:t>
            </w:r>
          </w:p>
        </w:tc>
      </w:tr>
      <w:tr>
        <w:tc>
          <w:tcPr/>
          <w:p>
            <w:pPr>
              <w:pStyle w:val="Compact"/>
              <w:jc w:val="left"/>
            </w:pPr>
            <w:r>
              <w:t xml:space="preserve">03</w:t>
            </w:r>
          </w:p>
        </w:tc>
        <w:tc>
          <w:tcPr/>
          <w:p>
            <w:pPr>
              <w:pStyle w:val="Compact"/>
              <w:jc w:val="left"/>
            </w:pPr>
            <w:r>
              <w:t xml:space="preserve">Lab-Grade Ethanol (99.5%), 1-litre reagent bottles</w:t>
            </w:r>
          </w:p>
        </w:tc>
        <w:tc>
          <w:tcPr/>
          <w:p>
            <w:pPr>
              <w:pStyle w:val="Compact"/>
              <w:jc w:val="left"/>
            </w:pPr>
            <w:r>
              <w:t xml:space="preserve">36</w:t>
            </w:r>
          </w:p>
        </w:tc>
        <w:tc>
          <w:tcPr/>
          <w:p>
            <w:pPr>
              <w:pStyle w:val="Compact"/>
              <w:jc w:val="left"/>
            </w:pPr>
            <w:r>
              <w:t xml:space="preserve">Bottles</w:t>
            </w:r>
          </w:p>
        </w:tc>
        <w:tc>
          <w:tcPr/>
          <w:p>
            <w:pPr>
              <w:pStyle w:val="Compact"/>
              <w:jc w:val="left"/>
            </w:pPr>
            <w:r>
              <w:t xml:space="preserve">2,340.00</w:t>
            </w:r>
          </w:p>
        </w:tc>
        <w:tc>
          <w:tcPr/>
          <w:p>
            <w:pPr>
              <w:pStyle w:val="Compact"/>
              <w:jc w:val="left"/>
            </w:pPr>
            <w:r>
              <w:t xml:space="preserve">84,240.00</w:t>
            </w:r>
          </w:p>
        </w:tc>
      </w:tr>
      <w:tr>
        <w:tc>
          <w:tcPr/>
          <w:p>
            <w:pPr>
              <w:pStyle w:val="Compact"/>
              <w:jc w:val="left"/>
            </w:pPr>
            <w:r>
              <w:t xml:space="preserve">04</w:t>
            </w:r>
          </w:p>
        </w:tc>
        <w:tc>
          <w:tcPr/>
          <w:p>
            <w:pPr>
              <w:pStyle w:val="Compact"/>
              <w:jc w:val="left"/>
            </w:pPr>
            <w:r>
              <w:t xml:space="preserve">Universal Indicator Solution, 250ml, Chemist-certified batch</w:t>
            </w:r>
          </w:p>
        </w:tc>
        <w:tc>
          <w:tcPr/>
          <w:p>
            <w:pPr>
              <w:pStyle w:val="Compact"/>
              <w:jc w:val="left"/>
            </w:pPr>
            <w:r>
              <w:t xml:space="preserve">18</w:t>
            </w:r>
          </w:p>
        </w:tc>
        <w:tc>
          <w:tcPr/>
          <w:p>
            <w:pPr>
              <w:pStyle w:val="Compact"/>
              <w:jc w:val="left"/>
            </w:pPr>
            <w:r>
              <w:t xml:space="preserve">Bottles</w:t>
            </w:r>
          </w:p>
        </w:tc>
        <w:tc>
          <w:tcPr/>
          <w:p>
            <w:pPr>
              <w:pStyle w:val="Compact"/>
              <w:jc w:val="left"/>
            </w:pPr>
            <w:r>
              <w:t xml:space="preserve">980.00</w:t>
            </w:r>
          </w:p>
        </w:tc>
        <w:tc>
          <w:tcPr/>
          <w:p>
            <w:pPr>
              <w:pStyle w:val="Compact"/>
              <w:jc w:val="left"/>
            </w:pPr>
            <w:r>
              <w:t xml:space="preserve">17,640.00</w:t>
            </w:r>
          </w:p>
        </w:tc>
      </w:tr>
      <w:tr>
        <w:tc>
          <w:tcPr/>
          <w:p>
            <w:pPr>
              <w:pStyle w:val="Compact"/>
              <w:jc w:val="left"/>
            </w:pPr>
            <w:r>
              <w:t xml:space="preserve">05</w:t>
            </w:r>
          </w:p>
        </w:tc>
        <w:tc>
          <w:tcPr/>
          <w:p>
            <w:pPr>
              <w:pStyle w:val="Compact"/>
              <w:jc w:val="left"/>
            </w:pPr>
            <w:r>
              <w:t xml:space="preserve">Beaker Set (100ml, 250ml, 500ml, 1000ml), Borosilicate Glass</w:t>
            </w:r>
          </w:p>
        </w:tc>
        <w:tc>
          <w:tcPr/>
          <w:p>
            <w:pPr>
              <w:pStyle w:val="Compact"/>
              <w:jc w:val="left"/>
            </w:pPr>
            <w:r>
              <w:t xml:space="preserve">12</w:t>
            </w:r>
          </w:p>
        </w:tc>
        <w:tc>
          <w:tcPr/>
          <w:p>
            <w:pPr>
              <w:pStyle w:val="Compact"/>
              <w:jc w:val="left"/>
            </w:pPr>
            <w:r>
              <w:t xml:space="preserve">Sets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06</w:t>
            </w:r>
          </w:p>
        </w:tc>
        <w:tc>
          <w:tcPr/>
          <w:p>
            <w:pPr>
              <w:pStyle w:val="Compact"/>
              <w:jc w:val="left"/>
            </w:pPr>
            <w:r>
              <w:t xml:space="preserve">Graduated Cylinders (50ml, 100ml, 250ml), Class A</w:t>
            </w:r>
          </w:p>
        </w:tc>
        <w:tc>
          <w:tcPr/>
          <w:p>
            <w:pPr>
              <w:pStyle w:val="Compact"/>
              <w:jc w:val="left"/>
            </w:pPr>
            <w:r>
              <w:t xml:space="preserve">20</w:t>
            </w:r>
          </w:p>
        </w:tc>
        <w:tc>
          <w:tcPr/>
          <w:p>
            <w:pPr>
              <w:pStyle w:val="Compact"/>
              <w:jc w:val="left"/>
            </w:pPr>
            <w:r>
              <w:t xml:space="preserve">Pieces</w:t>
            </w:r>
          </w:p>
        </w:tc>
        <w:tc>
          <w:tcPr/>
          <w:p>
            <w:pPr>
              <w:pStyle w:val="Compact"/>
              <w:jc w:val="left"/>
            </w:pPr>
            <w:r>
              <w:t xml:space="preserve">1,150.00</w:t>
            </w:r>
          </w:p>
        </w:tc>
        <w:tc>
          <w:tcPr/>
          <w:p>
            <w:pPr>
              <w:pStyle w:val="Compact"/>
              <w:jc w:val="left"/>
            </w:pPr>
            <w:r>
              <w:t xml:space="preserve">23,000.00</w:t>
            </w:r>
          </w:p>
        </w:tc>
      </w:tr>
      <w:tr>
        <w:tc>
          <w:tcPr/>
          <w:p>
            <w:pPr>
              <w:pStyle w:val="Compact"/>
              <w:jc w:val="left"/>
            </w:pPr>
            <w:r>
              <w:t xml:space="preserve">07</w:t>
            </w:r>
          </w:p>
        </w:tc>
        <w:tc>
          <w:tcPr/>
          <w:p>
            <w:pPr>
              <w:pStyle w:val="Compact"/>
              <w:jc w:val="left"/>
            </w:pPr>
            <w:r>
              <w:t xml:space="preserve">Filter Paper, Whatman No.1, 110mm diameter, 100 sheets per pack</w:t>
            </w:r>
          </w:p>
        </w:tc>
        <w:tc>
          <w:tcPr/>
          <w:p>
            <w:pPr>
              <w:pStyle w:val="Compact"/>
              <w:jc w:val="left"/>
            </w:pPr>
            <w:r>
              <w:t xml:space="preserve">15</w:t>
            </w:r>
          </w:p>
        </w:tc>
        <w:tc>
          <w:tcPr/>
          <w:p>
            <w:pPr>
              <w:pStyle w:val="Compact"/>
              <w:jc w:val="left"/>
            </w:pPr>
            <w:r>
              <w:t xml:space="preserve">Packs</w:t>
            </w:r>
          </w:p>
        </w:tc>
        <w:tc>
          <w:tcPr/>
          <w:p>
            <w:pPr>
              <w:pStyle w:val="Compact"/>
              <w:jc w:val="left"/>
            </w:pPr>
            <w:r>
              <w:t xml:space="preserve">2,780.00</w:t>
            </w:r>
          </w:p>
        </w:tc>
        <w:tc>
          <w:tcPr/>
          <w:p>
            <w:pPr>
              <w:pStyle w:val="Compact"/>
              <w:jc w:val="left"/>
            </w:pPr>
            <w:r>
              <w:t xml:space="preserve">41,700.00</w:t>
            </w:r>
          </w:p>
        </w:tc>
      </w:tr>
      <w:tr>
        <w:tc>
          <w:tcPr/>
          <w:p>
            <w:pPr>
              <w:pStyle w:val="Compact"/>
              <w:jc w:val="left"/>
            </w:pPr>
            <w:r>
              <w:t xml:space="preserve">08</w:t>
            </w:r>
          </w:p>
        </w:tc>
        <w:tc>
          <w:tcPr/>
          <w:p>
            <w:pPr>
              <w:pStyle w:val="Compact"/>
              <w:jc w:val="left"/>
            </w:pPr>
            <w:r>
              <w:t xml:space="preserve">Potassium Permanganate (KMnO4), Analytical Grade, 250g</w:t>
            </w:r>
          </w:p>
        </w:tc>
        <w:tc>
          <w:tcPr/>
          <w:p>
            <w:pPr>
              <w:pStyle w:val="Compact"/>
              <w:jc w:val="left"/>
            </w:pPr>
            <w:r>
              <w:t xml:space="preserve">10</w:t>
            </w:r>
          </w:p>
        </w:tc>
        <w:tc>
          <w:tcPr/>
          <w:p>
            <w:pPr>
              <w:pStyle w:val="Compact"/>
              <w:jc w:val="left"/>
            </w:pPr>
            <w:r>
              <w:t xml:space="preserve">Bottles</w:t>
            </w:r>
          </w:p>
        </w:tc>
        <w:tc>
          <w:tcPr/>
          <w:p>
            <w:pPr>
              <w:pStyle w:val="Compact"/>
              <w:jc w:val="left"/>
            </w:pPr>
            <w:r>
              <w:t xml:space="preserve">1,420.00</w:t>
            </w:r>
          </w:p>
        </w:tc>
        <w:tc>
          <w:tcPr/>
          <w:p>
            <w:pPr>
              <w:pStyle w:val="Compact"/>
              <w:jc w:val="left"/>
            </w:pPr>
            <w:r>
              <w:t xml:space="preserve">14,200.00</w:t>
            </w:r>
          </w:p>
        </w:tc>
      </w:tr>
      <w:tr>
        <w:tc>
          <w:tcPr/>
          <w:p>
            <w:pPr>
              <w:pStyle w:val="Compact"/>
              <w:jc w:val="left"/>
            </w:pPr>
            <w:r>
              <w:t xml:space="preserve">09</w:t>
            </w:r>
          </w:p>
        </w:tc>
        <w:tc>
          <w:tcPr/>
          <w:p>
            <w:pPr>
              <w:pStyle w:val="Compact"/>
              <w:jc w:val="left"/>
            </w:pPr>
            <w:r>
              <w:t xml:space="preserve">Chemist-Formulated Buffer Solution (pH 4.0, 7.0, 10.0), 500ml</w:t>
            </w:r>
          </w:p>
        </w:tc>
        <w:tc>
          <w:tcPr/>
          <w:p>
            <w:pPr>
              <w:pStyle w:val="Compact"/>
              <w:jc w:val="left"/>
            </w:pPr>
            <w:r>
              <w:t xml:space="preserve">30</w:t>
            </w:r>
          </w:p>
        </w:tc>
        <w:tc>
          <w:tcPr/>
          <w:p>
            <w:pPr>
              <w:pStyle w:val="Compact"/>
              <w:jc w:val="left"/>
            </w:pPr>
            <w:r>
              <w:t xml:space="preserve">Bottles</w:t>
            </w:r>
          </w:p>
        </w:tc>
        <w:tc>
          <w:tcPr/>
          <w:p>
            <w:pPr>
              <w:pStyle w:val="Compact"/>
              <w:jc w:val="left"/>
            </w:pPr>
            <w:r>
              <w:t xml:space="preserve">890.00</w:t>
            </w:r>
          </w:p>
        </w:tc>
        <w:tc>
          <w:tcPr/>
          <w:p>
            <w:pPr>
              <w:pStyle w:val="Compact"/>
              <w:jc w:val="left"/>
            </w:pPr>
            <w:r>
              <w:t xml:space="preserve">26,700.00</w:t>
            </w:r>
          </w:p>
        </w:tc>
      </w:tr>
      <w:tr>
        <w:tc>
          <w:tcPr/>
          <w:p>
            <w:pPr>
              <w:pStyle w:val="Compact"/>
              <w:jc w:val="left"/>
            </w:pPr>
            <w:r>
              <w:t xml:space="preserve">10</w:t>
            </w:r>
          </w:p>
        </w:tc>
        <w:tc>
          <w:tcPr/>
          <w:p>
            <w:pPr>
              <w:pStyle w:val="Compact"/>
              <w:jc w:val="left"/>
            </w:pPr>
            <w:r>
              <w:t xml:space="preserve">Protective Lab Gloves, Nitrile, Size M, 100 pairs per box</w:t>
            </w:r>
          </w:p>
        </w:tc>
        <w:tc>
          <w:tcPr/>
          <w:p>
            <w:pPr>
              <w:pStyle w:val="Compact"/>
              <w:jc w:val="left"/>
            </w:pPr>
            <w:r>
              <w:t xml:space="preserve">8</w:t>
            </w:r>
          </w:p>
        </w:tc>
        <w:tc>
          <w:tcPr/>
          <w:p>
            <w:pPr>
              <w:pStyle w:val="Compact"/>
              <w:jc w:val="left"/>
            </w:pPr>
            <w:r>
              <w:t xml:space="preserve">Boxes</w:t>
            </w:r>
          </w:p>
        </w:tc>
        <w:tc>
          <w:tcPr/>
          <w:p>
            <w:pPr>
              <w:pStyle w:val="Compact"/>
              <w:jc w:val="left"/>
            </w:pPr>
            <w:r>
              <w:t xml:space="preserve">3,500.00</w:t>
            </w:r>
          </w:p>
        </w:tc>
        <w:tc>
          <w:tcPr/>
          <w:p>
            <w:pPr>
              <w:pStyle w:val="Compact"/>
              <w:jc w:val="left"/>
            </w:pPr>
            <w:r>
              <w:t xml:space="preserve">28,000.00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343,080.00</w:t>
            </w:r>
          </w:p>
        </w:tc>
      </w:tr>
      <w:tr>
        <w:tc>
          <w:tcPr/>
          <w:p>
            <w:pPr>
              <w:pStyle w:val="Compact"/>
              <w:jc w:val="left"/>
            </w:pPr>
            <w:r>
              <w:t xml:space="preserve">VAT (13% — Nepal Kathmandu applicable rate)</w:t>
            </w:r>
          </w:p>
        </w:tc>
        <w:tc>
          <w:tcPr/>
          <w:p>
            <w:pPr>
              <w:pStyle w:val="Compact"/>
              <w:jc w:val="right"/>
            </w:pPr>
            <w:r>
              <w:t xml:space="preserve">44,600.40</w:t>
            </w:r>
          </w:p>
        </w:tc>
      </w:tr>
      <w:tr>
        <w:tc>
          <w:tcPr/>
          <w:p>
            <w:pPr>
              <w:pStyle w:val="Compact"/>
              <w:jc w:val="left"/>
            </w:pPr>
            <w:r>
              <w:t xml:space="preserve">Delivery &amp; Handling (within Kathmandu Valley)</w:t>
            </w:r>
          </w:p>
        </w:tc>
        <w:tc>
          <w:tcPr/>
          <w:p>
            <w:pPr>
              <w:pStyle w:val="Compact"/>
              <w:jc w:val="right"/>
            </w:pPr>
            <w:r>
              <w:t xml:space="preserve">5,500.00</w:t>
            </w:r>
          </w:p>
        </w:tc>
      </w:tr>
      <w:tr>
        <w:tc>
          <w:tcPr/>
          <w:p>
            <w:pPr>
              <w:pStyle w:val="Compact"/>
              <w:jc w:val="left"/>
            </w:pPr>
            <w:r>
              <w:t xml:space="preserve">Grand Total (NPR)</w:t>
            </w:r>
          </w:p>
        </w:tc>
        <w:tc>
          <w:tcPr/>
          <w:p>
            <w:pPr>
              <w:pStyle w:val="Compact"/>
              <w:jc w:val="right"/>
            </w:pPr>
            <w:r>
              <w:t xml:space="preserve">393,180.40</w:t>
            </w:r>
          </w:p>
        </w:tc>
      </w:tr>
    </w:tbl>
    <w:p>
      <w:pPr>
        <w:pStyle w:val="BodyText"/>
      </w:pPr>
      <w:r>
        <w:t xml:space="preserve">Terms &amp; Conditions of This Purchase Order</w:t>
      </w:r>
    </w:p>
    <w:p>
      <w:pPr>
        <w:numPr>
          <w:ilvl w:val="0"/>
          <w:numId w:val="1001"/>
        </w:numPr>
        <w:pStyle w:val="Compact"/>
      </w:pPr>
      <w:r>
        <w:t xml:space="preserve">This Purchase Order is issued by Himalayan Research &amp; Analytical Laboratories Pvt. Ltd., Kathmandu, Nepal, and is directed to the named Chemist supplier, Shree Anand Chemist &amp; Pharmaceutical Supplies, for the procurement of laboratory chemicals, reagents, and glassware as itemized above.</w:t>
      </w:r>
    </w:p>
    <w:p>
      <w:pPr>
        <w:numPr>
          <w:ilvl w:val="0"/>
          <w:numId w:val="1001"/>
        </w:numPr>
        <w:pStyle w:val="Compact"/>
      </w:pPr>
      <w:r>
        <w:t xml:space="preserve">All goods supplied under this Purchase Order must comply with the standards set by the Department of Drug Administration, Nepal, and must carry valid batch numbers, manufacturing dates, and expiry dates clearly printed on each container.</w:t>
      </w:r>
    </w:p>
    <w:p>
      <w:pPr>
        <w:numPr>
          <w:ilvl w:val="0"/>
          <w:numId w:val="1001"/>
        </w:numPr>
        <w:pStyle w:val="Compact"/>
      </w:pPr>
      <w:r>
        <w:t xml:space="preserve">The Chemist supplier shall ensure that all chemical reagents are of analytical or pharmaceutical grade as specified. Substandard or expired materials will be rejected at the point of delivery in Nepal Kathmandu without any additional cost to the buyer.</w:t>
      </w:r>
    </w:p>
    <w:p>
      <w:pPr>
        <w:numPr>
          <w:ilvl w:val="0"/>
          <w:numId w:val="1001"/>
        </w:numPr>
        <w:pStyle w:val="Compact"/>
      </w:pPr>
      <w:r>
        <w:t xml:space="preserve">Delivery shall be made to the buyer's premises at New Baneshwor Marg, Kathmandu, Nepal, no later than 30 June 2025. The Chemist is responsible for safe transport, proper packaging, and compliance with all hazardous material handling regulations within the Kathmandu Valley.</w:t>
      </w:r>
    </w:p>
    <w:p>
      <w:pPr>
        <w:numPr>
          <w:ilvl w:val="0"/>
          <w:numId w:val="1001"/>
        </w:numPr>
        <w:pStyle w:val="Compact"/>
      </w:pPr>
      <w:r>
        <w:t xml:space="preserve">Payment shall be made within 30 days of receipt of a valid tax invoice from the Chemist supplier, via bank transfer to the account specified on the invoice. The buyer reserves the right to withhold payment until all items are verified against this Purchase Order.</w:t>
      </w:r>
    </w:p>
    <w:p>
      <w:pPr>
        <w:numPr>
          <w:ilvl w:val="0"/>
          <w:numId w:val="1001"/>
        </w:numPr>
        <w:pStyle w:val="Compact"/>
      </w:pPr>
      <w:r>
        <w:t xml:space="preserve">The Chemist supplier warrants that all products are free from defects, contamination, and adulteration. Any claim for defective goods must be submitted in writing within 14 days of delivery.</w:t>
      </w:r>
    </w:p>
    <w:p>
      <w:pPr>
        <w:numPr>
          <w:ilvl w:val="0"/>
          <w:numId w:val="1001"/>
        </w:numPr>
        <w:pStyle w:val="Compact"/>
      </w:pPr>
      <w:r>
        <w:t xml:space="preserve">This Purchase Order is governed by the laws of the Kingdom of Nepal. Any disputes arising from this Purchase Order shall be resolved through the competent courts in Kathmandu, Nepal.</w:t>
      </w:r>
    </w:p>
    <w:p>
      <w:pPr>
        <w:numPr>
          <w:ilvl w:val="0"/>
          <w:numId w:val="1001"/>
        </w:numPr>
        <w:pStyle w:val="Compact"/>
      </w:pPr>
      <w:r>
        <w:t xml:space="preserve">The Chemist supplier shall provide a Certificate of Analysis (CoA) for each chemical batch delivered, along with Material Safety Data Sheets (MSDS/SDS) for all hazardous substances included in this order.</w:t>
      </w:r>
    </w:p>
    <w:p>
      <w:pPr>
        <w:numPr>
          <w:ilvl w:val="0"/>
          <w:numId w:val="1001"/>
        </w:numPr>
        <w:pStyle w:val="Compact"/>
      </w:pPr>
      <w:r>
        <w:t xml:space="preserve">Neither party may assign or transfer this Purchase Order without the prior written consent of the other party. This document constitutes the entire agreement between the buyer and the Chemist supplier regarding the items listed herein.</w:t>
      </w:r>
    </w:p>
    <w:p>
      <w:pPr>
        <w:pStyle w:val="FirstParagraph"/>
      </w:pPr>
      <w:r>
        <w:rPr>
          <w:bCs/>
          <w:b/>
        </w:rPr>
        <w:t xml:space="preserve">Authorized Signatory — Buyer</w:t>
      </w:r>
      <w:r>
        <w:br/>
      </w:r>
      <w:r>
        <w:t xml:space="preserve">Himalayan Research &amp; Analytical Laboratories Pvt. Ltd.</w:t>
      </w:r>
      <w:r>
        <w:br/>
      </w:r>
      <w:r>
        <w:t xml:space="preserve">Name: Dr. Sunita Sharma</w:t>
      </w:r>
      <w:r>
        <w:br/>
      </w:r>
      <w:r>
        <w:t xml:space="preserve">Designation: Head of Procurement</w:t>
      </w:r>
      <w:r>
        <w:br/>
      </w:r>
      <w:r>
        <w:t xml:space="preserve">Date: _______________</w:t>
      </w:r>
    </w:p>
    <w:p>
      <w:pPr>
        <w:pStyle w:val="BodyText"/>
      </w:pPr>
      <w:r>
        <w:rPr>
          <w:bCs/>
          <w:b/>
        </w:rPr>
        <w:t xml:space="preserve">Authorized Signatory — Chemist Supplier</w:t>
      </w:r>
      <w:r>
        <w:br/>
      </w:r>
      <w:r>
        <w:t xml:space="preserve">Shree Anand Chemist &amp; Pharmaceutical Supplies</w:t>
      </w:r>
      <w:r>
        <w:br/>
      </w:r>
      <w:r>
        <w:t xml:space="preserve">Name: Mr. Rajesh Koirala</w:t>
      </w:r>
      <w:r>
        <w:br/>
      </w:r>
      <w:r>
        <w:t xml:space="preserve">Designation: Managing Partner</w:t>
      </w:r>
      <w:r>
        <w:br/>
      </w:r>
      <w:r>
        <w:t xml:space="preserve">Date: _______________</w:t>
      </w:r>
    </w:p>
    <w:p>
      <w:pPr>
        <w:pStyle w:val="BodyText"/>
      </w:pPr>
      <w:r>
        <w:t xml:space="preserve">This Purchase Order (PO-NK-2025-04782) is a binding commercial document issued in Nepal Kathmandu. All transactions are subject to the VAT regulations of the Inland Revenue Department, Nepal. The Chemist supplier acknowledges receipt and acceptance of this Purchase Order by signing above. For queries, contact the Procurement Department at +977-1-4765230 or procurement@himalayanlabs.com.np.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Chemist Supply - Nepal Kathmandu</dc:title>
  <dc:creator/>
  <dc:language>en</dc:language>
  <cp:keywords/>
  <dcterms:created xsi:type="dcterms:W3CDTF">2026-10-10T02:11:42Z</dcterms:created>
  <dcterms:modified xsi:type="dcterms:W3CDTF">2026-10-10T02:11:42Z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