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Chemist Supply Procurement – Netherlands Amsterdam</w:t>
      </w:r>
    </w:p>
    <w:bookmarkEnd w:id="20"/>
    <w:p>
      <w:pPr>
        <w:pStyle w:val="BodyText"/>
      </w:pPr>
      <w:r>
        <w:rPr>
          <w:bCs/>
          <w:b/>
        </w:rPr>
        <w:t xml:space="preserve">Purchase Order No.:</w:t>
      </w:r>
      <w:r>
        <w:t xml:space="preserve"> </w:t>
      </w:r>
      <w:r>
        <w:t xml:space="preserve">PO-2025-AM-04782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1. Parties Involved</w:t>
      </w:r>
    </w:p>
    <w:bookmarkStart w:id="21" w:name="purchasing-entity-buyer"/>
    <w:p>
      <w:pPr>
        <w:pStyle w:val="Heading4"/>
      </w:pPr>
      <w:r>
        <w:t xml:space="preserve">Purchasing Entity (Buyer)</w:t>
      </w:r>
    </w:p>
    <w:p>
      <w:pPr>
        <w:pStyle w:val="FirstParagraph"/>
      </w:pPr>
      <w:r>
        <w:rPr>
          <w:bCs/>
          <w:b/>
        </w:rPr>
        <w:t xml:space="preserve">Amsterdam Health &amp; Wellness Group B.V.</w:t>
      </w:r>
    </w:p>
    <w:p>
      <w:pPr>
        <w:pStyle w:val="BodyText"/>
      </w:pPr>
      <w:r>
        <w:t xml:space="preserve">Keizersgracht 245, 1016 CW Amsterdam</w:t>
      </w:r>
    </w:p>
    <w:p>
      <w:pPr>
        <w:pStyle w:val="BodyText"/>
      </w:pPr>
      <w:r>
        <w:t xml:space="preserve">Netherlands</w:t>
      </w:r>
    </w:p>
    <w:p>
      <w:pPr>
        <w:pStyle w:val="BodyText"/>
      </w:pPr>
      <w:r>
        <w:t xml:space="preserve">KvK: 87654321 | VAT: NL861234567B01</w:t>
      </w:r>
    </w:p>
    <w:p>
      <w:pPr>
        <w:pStyle w:val="BodyText"/>
      </w:pPr>
      <w:r>
        <w:t xml:space="preserve">Contact: procurement@amsterdamhwg.nl</w:t>
      </w:r>
    </w:p>
    <w:p>
      <w:pPr>
        <w:pStyle w:val="BodyText"/>
      </w:pPr>
      <w:r>
        <w:t xml:space="preserve">Phone: +31 20 555 0142</w:t>
      </w:r>
    </w:p>
    <w:bookmarkEnd w:id="21"/>
    <w:bookmarkStart w:id="22" w:name="supplier-chemist-pharmacy"/>
    <w:p>
      <w:pPr>
        <w:pStyle w:val="Heading4"/>
      </w:pPr>
      <w:r>
        <w:t xml:space="preserve">Supplier (Chemist / Pharmacy)</w:t>
      </w:r>
    </w:p>
    <w:p>
      <w:pPr>
        <w:pStyle w:val="FirstParagraph"/>
      </w:pPr>
      <w:r>
        <w:rPr>
          <w:bCs/>
          <w:b/>
        </w:rPr>
        <w:t xml:space="preserve">De Gouden Anker Apotheek</w:t>
      </w:r>
    </w:p>
    <w:p>
      <w:pPr>
        <w:pStyle w:val="BodyText"/>
      </w:pPr>
      <w:r>
        <w:t xml:space="preserve">Herengracht 189, 1015 BT Amsterdam</w:t>
      </w:r>
    </w:p>
    <w:p>
      <w:pPr>
        <w:pStyle w:val="BodyText"/>
      </w:pPr>
      <w:r>
        <w:t xml:space="preserve">Netherlands</w:t>
      </w:r>
    </w:p>
    <w:p>
      <w:pPr>
        <w:pStyle w:val="BodyText"/>
      </w:pPr>
      <w:r>
        <w:t xml:space="preserve">KvK: 34567890 | VAT: NL859876543B01</w:t>
      </w:r>
    </w:p>
    <w:p>
      <w:pPr>
        <w:pStyle w:val="BodyText"/>
      </w:pPr>
      <w:r>
        <w:t xml:space="preserve">Contact: orders@degoudenanker.nl</w:t>
      </w:r>
    </w:p>
    <w:p>
      <w:pPr>
        <w:pStyle w:val="BodyText"/>
      </w:pPr>
      <w:r>
        <w:t xml:space="preserve">Phone: +31 20 555 0387</w:t>
      </w:r>
    </w:p>
    <w:p>
      <w:pPr>
        <w:pStyle w:val="BodyText"/>
      </w:pPr>
      <w:r>
        <w:t xml:space="preserve">Pharmacy License No.: NL-APH-2019-0042</w:t>
      </w:r>
    </w:p>
    <w:bookmarkEnd w:id="22"/>
    <w:p>
      <w:pPr>
        <w:pStyle w:val="BodyText"/>
      </w:pPr>
      <w:r>
        <w:t xml:space="preserve">2. Purchase Order Description</w:t>
      </w:r>
    </w:p>
    <w:p>
      <w:pPr>
        <w:pStyle w:val="BodyText"/>
      </w:pPr>
      <w:r>
        <w:t xml:space="preserve">This Purchase Order is issued by Amsterdam Health &amp; Wellness Group B.V. to the registered Chemist, De Gouden Anker Apotheek, located in the city of Netherlands Amsterdam. This document authorises the Chemist to prepare, dispense, and deliver the pharmaceutical products, medical supplies, and related items listed below in accordance with the applicable Dutch pharmaceutical regulations, the European Medicines Agency (EMA) guidelines, and the specific terms outlined in this Purchase Order. The Chemist confirms that all products supplied under this Purchase Order shall comply with the Dutch Medicines Act (Geneesmiddelenwet) and shall be stored and transported in full compliance with Good Distribution Practice (GDP) standards as enforced in the Netherlands.</w:t>
      </w:r>
    </w:p>
    <w:p>
      <w:pPr>
        <w:pStyle w:val="BodyText"/>
      </w:pPr>
      <w:r>
        <w:t xml:space="preserve">3. Items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SKU / Batch Ref.</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Amoxicillin 500mg Capsules (28 ct) – Prescription Dispensed</w:t>
            </w:r>
          </w:p>
        </w:tc>
        <w:tc>
          <w:tcPr/>
          <w:p>
            <w:pPr>
              <w:pStyle w:val="Compact"/>
              <w:jc w:val="left"/>
            </w:pPr>
            <w:r>
              <w:t xml:space="preserve">AMX-500-2025B</w:t>
            </w:r>
          </w:p>
        </w:tc>
        <w:tc>
          <w:tcPr/>
          <w:p>
            <w:pPr>
              <w:pStyle w:val="Compact"/>
              <w:jc w:val="left"/>
            </w:pPr>
            <w:r>
              <w:t xml:space="preserve">120</w:t>
            </w:r>
          </w:p>
        </w:tc>
        <w:tc>
          <w:tcPr/>
          <w:p>
            <w:pPr>
              <w:pStyle w:val="Compact"/>
              <w:jc w:val="left"/>
            </w:pPr>
            <w:r>
              <w:t xml:space="preserve">8.45</w:t>
            </w:r>
          </w:p>
        </w:tc>
        <w:tc>
          <w:tcPr/>
          <w:p>
            <w:pPr>
              <w:pStyle w:val="Compact"/>
              <w:jc w:val="left"/>
            </w:pPr>
            <w:r>
              <w:t xml:space="preserve">1,014.00</w:t>
            </w:r>
          </w:p>
        </w:tc>
      </w:tr>
      <w:tr>
        <w:tc>
          <w:tcPr/>
          <w:p>
            <w:pPr>
              <w:pStyle w:val="Compact"/>
              <w:jc w:val="left"/>
            </w:pPr>
            <w:r>
              <w:t xml:space="preserve">02</w:t>
            </w:r>
          </w:p>
        </w:tc>
        <w:tc>
          <w:tcPr/>
          <w:p>
            <w:pPr>
              <w:pStyle w:val="Compact"/>
              <w:jc w:val="left"/>
            </w:pPr>
            <w:r>
              <w:t xml:space="preserve">Ibuprofen 400mg Tablets (20 ct) – OTC Supply</w:t>
            </w:r>
          </w:p>
        </w:tc>
        <w:tc>
          <w:tcPr/>
          <w:p>
            <w:pPr>
              <w:pStyle w:val="Compact"/>
              <w:jc w:val="left"/>
            </w:pPr>
            <w:r>
              <w:t xml:space="preserve">IBU-400-2025C</w:t>
            </w:r>
          </w:p>
        </w:tc>
        <w:tc>
          <w:tcPr/>
          <w:p>
            <w:pPr>
              <w:pStyle w:val="Compact"/>
              <w:jc w:val="left"/>
            </w:pPr>
            <w:r>
              <w:t xml:space="preserve">200</w:t>
            </w:r>
          </w:p>
        </w:tc>
        <w:tc>
          <w:tcPr/>
          <w:p>
            <w:pPr>
              <w:pStyle w:val="Compact"/>
              <w:jc w:val="left"/>
            </w:pPr>
            <w:r>
              <w:t xml:space="preserve">4.20</w:t>
            </w:r>
          </w:p>
        </w:tc>
        <w:tc>
          <w:tcPr/>
          <w:p>
            <w:pPr>
              <w:pStyle w:val="Compact"/>
              <w:jc w:val="left"/>
            </w:pPr>
            <w:r>
              <w:t xml:space="preserve">840.00</w:t>
            </w:r>
          </w:p>
        </w:tc>
      </w:tr>
      <w:tr>
        <w:tc>
          <w:tcPr/>
          <w:p>
            <w:pPr>
              <w:pStyle w:val="Compact"/>
              <w:jc w:val="left"/>
            </w:pPr>
            <w:r>
              <w:t xml:space="preserve">03</w:t>
            </w:r>
          </w:p>
        </w:tc>
        <w:tc>
          <w:tcPr/>
          <w:p>
            <w:pPr>
              <w:pStyle w:val="Compact"/>
              <w:jc w:val="left"/>
            </w:pPr>
            <w:r>
              <w:t xml:space="preserve">Insulin Glargine 100 IU/mL Pen (5 pens) – Cold Chain</w:t>
            </w:r>
          </w:p>
        </w:tc>
        <w:tc>
          <w:tcPr/>
          <w:p>
            <w:pPr>
              <w:pStyle w:val="Compact"/>
              <w:jc w:val="left"/>
            </w:pPr>
            <w:r>
              <w:t xml:space="preserve">INS-GLA-2025A</w:t>
            </w:r>
          </w:p>
        </w:tc>
        <w:tc>
          <w:tcPr/>
          <w:p>
            <w:pPr>
              <w:pStyle w:val="Compact"/>
              <w:jc w:val="left"/>
            </w:pPr>
            <w:r>
              <w:t xml:space="preserve">45</w:t>
            </w:r>
          </w:p>
        </w:tc>
        <w:tc>
          <w:tcPr/>
          <w:p>
            <w:pPr>
              <w:pStyle w:val="Compact"/>
              <w:jc w:val="left"/>
            </w:pPr>
            <w:r>
              <w:t xml:space="preserve">62.30</w:t>
            </w:r>
          </w:p>
        </w:tc>
        <w:tc>
          <w:tcPr/>
          <w:p>
            <w:pPr>
              <w:pStyle w:val="Compact"/>
              <w:jc w:val="left"/>
            </w:pPr>
            <w:r>
              <w:t xml:space="preserve">2,803.50</w:t>
            </w:r>
          </w:p>
        </w:tc>
      </w:tr>
      <w:tr>
        <w:tc>
          <w:tcPr/>
          <w:p>
            <w:pPr>
              <w:pStyle w:val="Compact"/>
              <w:jc w:val="left"/>
            </w:pPr>
            <w:r>
              <w:t xml:space="preserve">04</w:t>
            </w:r>
          </w:p>
        </w:tc>
        <w:tc>
          <w:tcPr/>
          <w:p>
            <w:pPr>
              <w:pStyle w:val="Compact"/>
              <w:jc w:val="left"/>
            </w:pPr>
            <w:r>
              <w:t xml:space="preserve">Sterile Gauze Pads 10x10cm (Box of 100)</w:t>
            </w:r>
          </w:p>
        </w:tc>
        <w:tc>
          <w:tcPr/>
          <w:p>
            <w:pPr>
              <w:pStyle w:val="Compact"/>
              <w:jc w:val="left"/>
            </w:pPr>
            <w:r>
              <w:t xml:space="preserve">GAU-1010-2025D</w:t>
            </w:r>
          </w:p>
        </w:tc>
        <w:tc>
          <w:tcPr/>
          <w:p>
            <w:pPr>
              <w:pStyle w:val="Compact"/>
              <w:jc w:val="left"/>
            </w:pPr>
            <w:r>
              <w:t xml:space="preserve">80</w:t>
            </w:r>
          </w:p>
        </w:tc>
        <w:tc>
          <w:tcPr/>
          <w:p>
            <w:pPr>
              <w:pStyle w:val="Compact"/>
              <w:jc w:val="left"/>
            </w:pPr>
            <w:r>
              <w:t xml:space="preserve">12.75</w:t>
            </w:r>
          </w:p>
        </w:tc>
        <w:tc>
          <w:tcPr/>
          <w:p>
            <w:pPr>
              <w:pStyle w:val="Compact"/>
              <w:jc w:val="left"/>
            </w:pPr>
            <w:r>
              <w:t xml:space="preserve">1,020.00</w:t>
            </w:r>
          </w:p>
        </w:tc>
      </w:tr>
      <w:tr>
        <w:tc>
          <w:tcPr/>
          <w:p>
            <w:pPr>
              <w:pStyle w:val="Compact"/>
              <w:jc w:val="left"/>
            </w:pPr>
            <w:r>
              <w:t xml:space="preserve">05</w:t>
            </w:r>
          </w:p>
        </w:tc>
        <w:tc>
          <w:tcPr/>
          <w:p>
            <w:pPr>
              <w:pStyle w:val="Compact"/>
              <w:jc w:val="left"/>
            </w:pPr>
            <w:r>
              <w:t xml:space="preserve">Nitrile Examination Gloves (Box of 100, Size M)</w:t>
            </w:r>
          </w:p>
        </w:tc>
        <w:tc>
          <w:tcPr/>
          <w:p>
            <w:pPr>
              <w:pStyle w:val="Compact"/>
              <w:jc w:val="left"/>
            </w:pPr>
            <w:r>
              <w:t xml:space="preserve">GLV-NIT-M-2025E</w:t>
            </w:r>
          </w:p>
        </w:tc>
        <w:tc>
          <w:tcPr/>
          <w:p>
            <w:pPr>
              <w:pStyle w:val="Compact"/>
              <w:jc w:val="left"/>
            </w:pPr>
            <w:r>
              <w:t xml:space="preserve">150</w:t>
            </w:r>
          </w:p>
        </w:tc>
        <w:tc>
          <w:tcPr/>
          <w:p>
            <w:pPr>
              <w:pStyle w:val="Compact"/>
              <w:jc w:val="left"/>
            </w:pPr>
            <w:r>
              <w:t xml:space="preserve">6.90</w:t>
            </w:r>
          </w:p>
        </w:tc>
        <w:tc>
          <w:tcPr/>
          <w:p>
            <w:pPr>
              <w:pStyle w:val="Compact"/>
              <w:jc w:val="left"/>
            </w:pPr>
            <w:r>
              <w:t xml:space="preserve">1,035.00</w:t>
            </w:r>
          </w:p>
        </w:tc>
      </w:tr>
      <w:tr>
        <w:tc>
          <w:tcPr/>
          <w:p>
            <w:pPr>
              <w:pStyle w:val="Compact"/>
              <w:jc w:val="left"/>
            </w:pPr>
            <w:r>
              <w:t xml:space="preserve">06</w:t>
            </w:r>
          </w:p>
        </w:tc>
        <w:tc>
          <w:tcPr/>
          <w:p>
            <w:pPr>
              <w:pStyle w:val="Compact"/>
              <w:jc w:val="left"/>
            </w:pPr>
            <w:r>
              <w:t xml:space="preserve">Digital Thermometer (Clinical Grade, CE Marked)</w:t>
            </w:r>
          </w:p>
        </w:tc>
        <w:tc>
          <w:tcPr/>
          <w:p>
            <w:pPr>
              <w:pStyle w:val="Compact"/>
              <w:jc w:val="left"/>
            </w:pPr>
            <w:r>
              <w:t xml:space="preserve">THM-DIG-2025F</w:t>
            </w:r>
          </w:p>
        </w:tc>
        <w:tc>
          <w:tcPr/>
          <w:p>
            <w:pPr>
              <w:pStyle w:val="Compact"/>
              <w:jc w:val="left"/>
            </w:pPr>
            <w:r>
              <w:t xml:space="preserve">30</w:t>
            </w:r>
          </w:p>
        </w:tc>
        <w:tc>
          <w:tcPr/>
          <w:p>
            <w:pPr>
              <w:pStyle w:val="Compact"/>
              <w:jc w:val="left"/>
            </w:pPr>
            <w:r>
              <w:t xml:space="preserve">18.50</w:t>
            </w:r>
          </w:p>
        </w:tc>
        <w:tc>
          <w:tcPr/>
          <w:p>
            <w:pPr>
              <w:pStyle w:val="Compact"/>
              <w:jc w:val="left"/>
            </w:pPr>
            <w:r>
              <w:t xml:space="preserve">555.00</w:t>
            </w:r>
          </w:p>
        </w:tc>
      </w:tr>
      <w:tr>
        <w:tc>
          <w:tcPr/>
          <w:p>
            <w:pPr>
              <w:pStyle w:val="Compact"/>
              <w:jc w:val="left"/>
            </w:pPr>
            <w:r>
              <w:t xml:space="preserve">07</w:t>
            </w:r>
          </w:p>
        </w:tc>
        <w:tc>
          <w:tcPr/>
          <w:p>
            <w:pPr>
              <w:pStyle w:val="Compact"/>
              <w:jc w:val="left"/>
            </w:pPr>
            <w:r>
              <w:t xml:space="preserve">Saline Solution 0.9% (500mL IV Bags, Box of 10)</w:t>
            </w:r>
          </w:p>
        </w:tc>
        <w:tc>
          <w:tcPr/>
          <w:p>
            <w:pPr>
              <w:pStyle w:val="Compact"/>
              <w:jc w:val="left"/>
            </w:pPr>
            <w:r>
              <w:t xml:space="preserve">SAL-09-500-2025G</w:t>
            </w:r>
          </w:p>
        </w:tc>
        <w:tc>
          <w:tcPr/>
          <w:p>
            <w:pPr>
              <w:pStyle w:val="Compact"/>
              <w:jc w:val="left"/>
            </w:pPr>
            <w:r>
              <w:t xml:space="preserve">60</w:t>
            </w:r>
          </w:p>
        </w:tc>
        <w:tc>
          <w:tcPr/>
          <w:p>
            <w:pPr>
              <w:pStyle w:val="Compact"/>
              <w:jc w:val="left"/>
            </w:pPr>
            <w:r>
              <w:t xml:space="preserve">22.40</w:t>
            </w:r>
          </w:p>
        </w:tc>
        <w:tc>
          <w:tcPr/>
          <w:p>
            <w:pPr>
              <w:pStyle w:val="Compact"/>
              <w:jc w:val="left"/>
            </w:pPr>
            <w:r>
              <w:t xml:space="preserve">1,344.00</w:t>
            </w:r>
          </w:p>
        </w:tc>
      </w:tr>
      <w:tr>
        <w:tc>
          <w:tcPr/>
          <w:p>
            <w:pPr>
              <w:pStyle w:val="Compact"/>
              <w:jc w:val="left"/>
            </w:pPr>
            <w:r>
              <w:t xml:space="preserve">08</w:t>
            </w:r>
          </w:p>
        </w:tc>
        <w:tc>
          <w:tcPr/>
          <w:p>
            <w:pPr>
              <w:pStyle w:val="Compact"/>
              <w:jc w:val="left"/>
            </w:pPr>
            <w:r>
              <w:t xml:space="preserve">Pharmacy Label Printer Ribbons (Thermal, 110mm)</w:t>
            </w:r>
          </w:p>
        </w:tc>
        <w:tc>
          <w:tcPr/>
          <w:p>
            <w:pPr>
              <w:pStyle w:val="Compact"/>
              <w:jc w:val="left"/>
            </w:pPr>
            <w:r>
              <w:t xml:space="preserve">LBL-RIB-2025H</w:t>
            </w:r>
          </w:p>
        </w:tc>
        <w:tc>
          <w:tcPr/>
          <w:p>
            <w:pPr>
              <w:pStyle w:val="Compact"/>
              <w:jc w:val="left"/>
            </w:pPr>
            <w:r>
              <w:t xml:space="preserve">25</w:t>
            </w:r>
          </w:p>
        </w:tc>
        <w:tc>
          <w:tcPr/>
          <w:p>
            <w:pPr>
              <w:pStyle w:val="Compact"/>
              <w:jc w:val="left"/>
            </w:pPr>
            <w:r>
              <w:t xml:space="preserve">34.00</w:t>
            </w:r>
          </w:p>
        </w:tc>
        <w:tc>
          <w:tcPr/>
          <w:p>
            <w:pPr>
              <w:pStyle w:val="Compact"/>
              <w:jc w:val="left"/>
            </w:pPr>
            <w:r>
              <w:t xml:space="preserve">850.00</w:t>
            </w:r>
          </w:p>
        </w:tc>
      </w:tr>
      <w:tr>
        <w:tc>
          <w:tcPr>
            <w:gridSpan w:val="5"/>
          </w:tcPr>
          <w:p>
            <w:pPr>
              <w:pStyle w:val="Compact"/>
              <w:jc w:val="right"/>
            </w:pPr>
            <w:r>
              <w:t xml:space="preserve">Subtotal</w:t>
            </w:r>
          </w:p>
        </w:tc>
        <w:tc>
          <w:tcPr/>
          <w:p>
            <w:pPr>
              <w:pStyle w:val="Compact"/>
              <w:jc w:val="left"/>
            </w:pPr>
            <w:r>
              <w:t xml:space="preserve">9,461.50</w:t>
            </w:r>
          </w:p>
        </w:tc>
      </w:tr>
      <w:tr>
        <w:tc>
          <w:tcPr>
            <w:gridSpan w:val="5"/>
          </w:tcPr>
          <w:p>
            <w:pPr>
              <w:pStyle w:val="Compact"/>
              <w:jc w:val="right"/>
            </w:pPr>
            <w:r>
              <w:t xml:space="preserve">VAT (21% – Netherlands)</w:t>
            </w:r>
          </w:p>
        </w:tc>
        <w:tc>
          <w:tcPr/>
          <w:p>
            <w:pPr>
              <w:pStyle w:val="Compact"/>
              <w:jc w:val="left"/>
            </w:pPr>
            <w:r>
              <w:t xml:space="preserve">1,986.92</w:t>
            </w:r>
          </w:p>
        </w:tc>
      </w:tr>
      <w:tr>
        <w:tc>
          <w:tcPr>
            <w:gridSpan w:val="5"/>
          </w:tcPr>
          <w:p>
            <w:pPr>
              <w:pStyle w:val="Compact"/>
              <w:jc w:val="right"/>
            </w:pPr>
            <w:r>
              <w:rPr>
                <w:bCs/>
                <w:b/>
              </w:rPr>
              <w:t xml:space="preserve">TOTAL AMOUNT DUE</w:t>
            </w:r>
          </w:p>
        </w:tc>
        <w:tc>
          <w:tcPr/>
          <w:p>
            <w:pPr>
              <w:pStyle w:val="Compact"/>
              <w:jc w:val="left"/>
            </w:pPr>
            <w:r>
              <w:rPr>
                <w:bCs/>
                <w:b/>
              </w:rPr>
              <w:t xml:space="preserve">11,448.42</w:t>
            </w:r>
          </w:p>
        </w:tc>
      </w:tr>
    </w:tbl>
    <w:p>
      <w:pPr>
        <w:pStyle w:val="BodyText"/>
      </w:pPr>
      <w:r>
        <w:t xml:space="preserve">4. Delivery and Logistics</w:t>
      </w:r>
    </w:p>
    <w:p>
      <w:pPr>
        <w:pStyle w:val="BodyText"/>
      </w:pPr>
      <w:r>
        <w:t xml:space="preserve">The Chemist shall deliver all items specified in this Purchase Order to the receiving address of Amsterdam Health &amp; Wellness Group B.V. at Keizersgracht 245, 1016 CW Amsterdam, Netherlands. Delivery is scheduled for no later than 21 June 2025, between the hours of 08:00 and 16:00 CET. All temperature-sensitive pharmaceutical products (including but not limited to Item No. 03 – Insulin Glargine) must be transported in validated cold-chain packaging maintained between 2°C and 8°C throughout transit within the Netherlands Amsterdam metropolitan area. The Chemist is responsible for providing a Certificate of Cold Chain Integrity upon delivery. Delivery within the city of Amsterdam shall be arranged via the Chemist's own licensed pharmaceutical courier service, and no third-party parcel carriers may be used for the transport of prescription medicines.</w:t>
      </w:r>
    </w:p>
    <w:p>
      <w:pPr>
        <w:pStyle w:val="BodyText"/>
      </w:pPr>
      <w:r>
        <w:t xml:space="preserve">5. Terms and Conditions</w:t>
      </w:r>
    </w:p>
    <w:p>
      <w:pPr>
        <w:numPr>
          <w:ilvl w:val="0"/>
          <w:numId w:val="1001"/>
        </w:numPr>
        <w:pStyle w:val="Compact"/>
      </w:pPr>
      <w:r>
        <w:t xml:space="preserve">This Purchase Order is governed by the laws of the Netherlands and shall be interpreted in accordance with Dutch commercial law (Burgerlijk Wetboek, Book 7).</w:t>
      </w:r>
    </w:p>
    <w:p>
      <w:pPr>
        <w:numPr>
          <w:ilvl w:val="0"/>
          <w:numId w:val="1001"/>
        </w:numPr>
        <w:pStyle w:val="Compact"/>
      </w:pPr>
      <w:r>
        <w:t xml:space="preserve">The Chemist warrants that all pharmaceutical products supplied are genuine, unexpired, and sourced from authorised manufacturers or distributors registered with the Dutch Medicines Evaluation Board (CBG).</w:t>
      </w:r>
    </w:p>
    <w:p>
      <w:pPr>
        <w:numPr>
          <w:ilvl w:val="0"/>
          <w:numId w:val="1001"/>
        </w:numPr>
        <w:pStyle w:val="Compact"/>
      </w:pPr>
      <w:r>
        <w:t xml:space="preserve">Any deviation from the specifications listed in this Purchase Order must be communicated in writing to the purchasing entity no later than 48 hours prior to the scheduled delivery date.</w:t>
      </w:r>
    </w:p>
    <w:p>
      <w:pPr>
        <w:numPr>
          <w:ilvl w:val="0"/>
          <w:numId w:val="1001"/>
        </w:numPr>
        <w:pStyle w:val="Compact"/>
      </w:pPr>
      <w:r>
        <w:t xml:space="preserve">Payment of the total amount of EUR 11,448.42 shall be made via SEPA bank transfer to the Chemist's designated account within 30 calendar days of the date of invoice issuance.</w:t>
      </w:r>
    </w:p>
    <w:p>
      <w:pPr>
        <w:numPr>
          <w:ilvl w:val="0"/>
          <w:numId w:val="1001"/>
        </w:numPr>
        <w:pStyle w:val="Compact"/>
      </w:pPr>
      <w:r>
        <w:t xml:space="preserve">The Chemist shall maintain full product traceability records in compliance with the Dutch Traceability Regulation (Besluit geneesmiddelen) and shall make such records available to the purchasing entity upon request.</w:t>
      </w:r>
    </w:p>
    <w:p>
      <w:pPr>
        <w:numPr>
          <w:ilvl w:val="0"/>
          <w:numId w:val="1001"/>
        </w:numPr>
        <w:pStyle w:val="Compact"/>
      </w:pPr>
      <w:r>
        <w:t xml:space="preserve">In the event of a product recall or safety alert issued by the Dutch Health Directorate (IGJ) or the European Medicines Agency, the Chemist shall notify the purchasing entity within 24 hours and shall bear all costs associated with the retrieval and replacement of affected items.</w:t>
      </w:r>
    </w:p>
    <w:p>
      <w:pPr>
        <w:numPr>
          <w:ilvl w:val="0"/>
          <w:numId w:val="1001"/>
        </w:numPr>
        <w:pStyle w:val="Compact"/>
      </w:pPr>
      <w:r>
        <w:t xml:space="preserve">This Purchase Order does not constitute a long-term supply agreement. Each subsequent order shall require the issuance of a new Purchase Order document.</w:t>
      </w:r>
    </w:p>
    <w:p>
      <w:pPr>
        <w:numPr>
          <w:ilvl w:val="0"/>
          <w:numId w:val="1001"/>
        </w:numPr>
        <w:pStyle w:val="Compact"/>
      </w:pPr>
      <w:r>
        <w:t xml:space="preserve">Disputes arising from this Purchase Order shall be resolved through the competent courts of Amsterdam, Netherlands, unless both parties agree in writing to alternative dispute resolution.</w:t>
      </w:r>
    </w:p>
    <w:p>
      <w:pPr>
        <w:pStyle w:val="FirstParagraph"/>
      </w:pPr>
      <w:r>
        <w:t xml:space="preserve">6. Authorisation and Signatures</w:t>
      </w:r>
    </w:p>
    <w:p>
      <w:pPr>
        <w:pStyle w:val="BodyText"/>
      </w:pPr>
      <w:r>
        <w:rPr>
          <w:bCs/>
          <w:b/>
        </w:rPr>
        <w:t xml:space="preserve">For and on behalf of the Purchasing Entity:</w:t>
      </w:r>
    </w:p>
    <w:p>
      <w:pPr>
        <w:pStyle w:val="BodyText"/>
      </w:pPr>
      <w:r>
        <w:t xml:space="preserve">Amsterdam Health &amp; Wellness Group B.V.</w:t>
      </w:r>
    </w:p>
    <w:p>
      <w:pPr>
        <w:pStyle w:val="BodyText"/>
      </w:pPr>
      <w:r>
        <w:t xml:space="preserve">Name: Dr. Hendrik van der Berg</w:t>
      </w:r>
    </w:p>
    <w:p>
      <w:pPr>
        <w:pStyle w:val="BodyText"/>
      </w:pPr>
      <w:r>
        <w:t xml:space="preserve">Title: Procurement Director</w:t>
      </w:r>
    </w:p>
    <w:p>
      <w:pPr>
        <w:pStyle w:val="BodyText"/>
      </w:pPr>
      <w:r>
        <w:t xml:space="preserve">Date: 14 June 2025</w:t>
      </w:r>
    </w:p>
    <w:p>
      <w:pPr>
        <w:pStyle w:val="BodyText"/>
      </w:pPr>
      <w:r>
        <w:rPr>
          <w:bCs/>
          <w:b/>
        </w:rPr>
        <w:t xml:space="preserve">For and on behalf of the Chemist (Supplier):</w:t>
      </w:r>
    </w:p>
    <w:p>
      <w:pPr>
        <w:pStyle w:val="BodyText"/>
      </w:pPr>
      <w:r>
        <w:t xml:space="preserve">De Gouden Anker Apotheek</w:t>
      </w:r>
    </w:p>
    <w:p>
      <w:pPr>
        <w:pStyle w:val="BodyText"/>
      </w:pPr>
      <w:r>
        <w:t xml:space="preserve">Name: Pharm. S. de Vries, MSc</w:t>
      </w:r>
    </w:p>
    <w:p>
      <w:pPr>
        <w:pStyle w:val="BodyText"/>
      </w:pPr>
      <w:r>
        <w:t xml:space="preserve">Title: Owner / Licensed Pharmacist</w:t>
      </w:r>
    </w:p>
    <w:p>
      <w:pPr>
        <w:pStyle w:val="BodyText"/>
      </w:pPr>
      <w:r>
        <w:t xml:space="preserve">Date: 14 June 2025</w:t>
      </w:r>
    </w:p>
    <w:p>
      <w:pPr>
        <w:pStyle w:val="BodyText"/>
      </w:pPr>
      <w:r>
        <w:rPr>
          <w:bCs/>
          <w:b/>
        </w:rPr>
        <w:t xml:space="preserve">Important Notice:</w:t>
      </w:r>
      <w:r>
        <w:t xml:space="preserve"> </w:t>
      </w:r>
      <w:r>
        <w:t xml:space="preserve">This Purchase Order relates to the procurement of pharmaceutical and medical products from a licensed Chemist operating in Netherlands Amsterdam. All transactions are subject to the Dutch Pharmacy Act (Apothekerswet) and the regulations of the Royal Dutch Society of Pharmacists (KNMP). The Chemist named herein holds a valid operating licence for the dispensing and wholesale supply of medicines within the municipality of Amsterdam. This document is confidential and intended solely for the named parties.</w:t>
      </w:r>
    </w:p>
    <w:p>
      <w:pPr>
        <w:pStyle w:val="BodyText"/>
      </w:pPr>
      <w:r>
        <w:t xml:space="preserve">Purchase Order PO-2025-AM-04782 | Chemist Supply – Netherlands Amsterdam | Page 1 of 1</w:t>
      </w:r>
    </w:p>
    <w:p>
      <w:pPr>
        <w:pStyle w:val="BodyText"/>
      </w:pPr>
      <w:r>
        <w:t xml:space="preserve">Generated by Amsterdam Health &amp; Wellness Group B.V. – Procurement Department | Confidential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Netherlands Amsterdam</dc:title>
  <dc:creator/>
  <dc:language>en</dc:language>
  <cp:keywords/>
  <dcterms:created xsi:type="dcterms:W3CDTF">2026-10-10T03:36:38Z</dcterms:created>
  <dcterms:modified xsi:type="dcterms:W3CDTF">2026-10-10T03:36:38Z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