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Supply</w:t>
      </w:r>
      <w:r>
        <w:t xml:space="preserve"> </w:t>
      </w:r>
      <w:r>
        <w:t xml:space="preserve">-</w:t>
      </w:r>
      <w:r>
        <w:t xml:space="preserve"> </w:t>
      </w:r>
      <w:r>
        <w:t xml:space="preserve">Russia</w:t>
      </w:r>
      <w:r>
        <w:t xml:space="preserve"> </w:t>
      </w:r>
      <w:r>
        <w:t xml:space="preserve">Moscow</w:t>
      </w:r>
    </w:p>
    <w:bookmarkStart w:id="20" w:name="purchase-order"/>
    <w:p>
      <w:pPr>
        <w:pStyle w:val="Heading1"/>
      </w:pPr>
      <w:r>
        <w:t xml:space="preserve">PURCHASE ORDER</w:t>
      </w:r>
    </w:p>
    <w:p>
      <w:pPr>
        <w:pStyle w:val="FirstParagraph"/>
      </w:pPr>
      <w:r>
        <w:t xml:space="preserve">Chemist Pharmaceutical Supply — Russia Moscow</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PO-RM-2025-04872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28 June 2025</w:t>
            </w:r>
          </w:p>
        </w:tc>
      </w:tr>
      <w:tr>
        <w:tc>
          <w:tcPr/>
          <w:p>
            <w:pPr>
              <w:pStyle w:val="Compact"/>
              <w:jc w:val="left"/>
            </w:pPr>
            <w:r>
              <w:t xml:space="preserve">Valid Until:</w:t>
            </w:r>
          </w:p>
        </w:tc>
        <w:tc>
          <w:tcPr/>
          <w:p>
            <w:pPr>
              <w:pStyle w:val="Compact"/>
              <w:jc w:val="left"/>
            </w:pPr>
            <w:r>
              <w:t xml:space="preserve">14 July 2025</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Currency:</w:t>
            </w:r>
          </w:p>
        </w:tc>
        <w:tc>
          <w:tcPr/>
          <w:p>
            <w:pPr>
              <w:pStyle w:val="Compact"/>
              <w:jc w:val="left"/>
            </w:pPr>
            <w:r>
              <w:t xml:space="preserve">Russian Ruble (RUB)</w:t>
            </w:r>
          </w:p>
        </w:tc>
      </w:tr>
      <w:tr>
        <w:tc>
          <w:tcPr/>
          <w:p>
            <w:pPr>
              <w:pStyle w:val="Compact"/>
              <w:jc w:val="left"/>
            </w:pPr>
            <w:r>
              <w:t xml:space="preserve">Incoterms:</w:t>
            </w:r>
          </w:p>
        </w:tc>
        <w:tc>
          <w:tcPr/>
          <w:p>
            <w:pPr>
              <w:pStyle w:val="Compact"/>
              <w:jc w:val="left"/>
            </w:pPr>
            <w:r>
              <w:t xml:space="preserve">DDP Moscow</w:t>
            </w:r>
          </w:p>
        </w:tc>
      </w:tr>
      <w:tr>
        <w:tc>
          <w:tcPr/>
          <w:p>
            <w:pPr>
              <w:pStyle w:val="Compact"/>
              <w:jc w:val="left"/>
            </w:pPr>
            <w:r>
              <w:t xml:space="preserve">Reference:</w:t>
            </w:r>
          </w:p>
        </w:tc>
        <w:tc>
          <w:tcPr/>
          <w:p>
            <w:pPr>
              <w:pStyle w:val="Compact"/>
              <w:jc w:val="left"/>
            </w:pPr>
            <w:r>
              <w:t xml:space="preserve">CHM-RM-2025-Q2</w:t>
            </w:r>
          </w:p>
        </w:tc>
      </w:tr>
    </w:tbl>
    <w:bookmarkStart w:id="21" w:name="buyer-chemist-pharmacy"/>
    <w:p>
      <w:pPr>
        <w:pStyle w:val="Heading3"/>
      </w:pPr>
      <w:r>
        <w:t xml:space="preserve">BUYER (Chemist / Pharmacy)</w:t>
      </w:r>
    </w:p>
    <w:p>
      <w:pPr>
        <w:pStyle w:val="FirstParagraph"/>
      </w:pPr>
      <w:r>
        <w:rPr>
          <w:bCs/>
          <w:b/>
        </w:rPr>
        <w:t xml:space="preserve">Apтека Zdravie LLC</w:t>
      </w:r>
    </w:p>
    <w:p>
      <w:pPr>
        <w:pStyle w:val="BodyText"/>
      </w:pPr>
      <w:r>
        <w:t xml:space="preserve">Chemist &amp; Pharmaceutical Retailer</w:t>
      </w:r>
    </w:p>
    <w:p>
      <w:pPr>
        <w:pStyle w:val="BodyText"/>
      </w:pPr>
      <w:r>
        <w:t xml:space="preserve">12 Tverskaya Street, Building 4</w:t>
      </w:r>
    </w:p>
    <w:p>
      <w:pPr>
        <w:pStyle w:val="BodyText"/>
      </w:pPr>
      <w:r>
        <w:t xml:space="preserve">Moscow, Russia Moscow, 125009</w:t>
      </w:r>
    </w:p>
    <w:p>
      <w:pPr>
        <w:pStyle w:val="BodyText"/>
      </w:pPr>
      <w:r>
        <w:t xml:space="preserve">Tax ID (INN): 7710456789</w:t>
      </w:r>
    </w:p>
    <w:p>
      <w:pPr>
        <w:pStyle w:val="BodyText"/>
      </w:pPr>
      <w:r>
        <w:t xml:space="preserve">Phone: +7 (495) 555-0142</w:t>
      </w:r>
    </w:p>
    <w:p>
      <w:pPr>
        <w:pStyle w:val="BodyText"/>
      </w:pPr>
      <w:r>
        <w:t xml:space="preserve">Email: procurement@apteka-zdravie.ru</w:t>
      </w:r>
    </w:p>
    <w:bookmarkEnd w:id="21"/>
    <w:bookmarkStart w:id="22" w:name="supplier"/>
    <w:p>
      <w:pPr>
        <w:pStyle w:val="Heading3"/>
      </w:pPr>
      <w:r>
        <w:t xml:space="preserve">SUPPLIER</w:t>
      </w:r>
    </w:p>
    <w:p>
      <w:pPr>
        <w:pStyle w:val="FirstParagraph"/>
      </w:pPr>
      <w:r>
        <w:rPr>
          <w:bCs/>
          <w:b/>
        </w:rPr>
        <w:t xml:space="preserve">PharmaDistribut Moscow JSC</w:t>
      </w:r>
    </w:p>
    <w:p>
      <w:pPr>
        <w:pStyle w:val="BodyText"/>
      </w:pPr>
      <w:r>
        <w:t xml:space="preserve">Wholesale Pharmaceutical Distributor</w:t>
      </w:r>
    </w:p>
    <w:p>
      <w:pPr>
        <w:pStyle w:val="BodyText"/>
      </w:pPr>
      <w:r>
        <w:t xml:space="preserve">88 Leningradsky Prospekt, Warehouse 7</w:t>
      </w:r>
    </w:p>
    <w:p>
      <w:pPr>
        <w:pStyle w:val="BodyText"/>
      </w:pPr>
      <w:r>
        <w:t xml:space="preserve">Moscow, Russia Moscow, 125212</w:t>
      </w:r>
    </w:p>
    <w:p>
      <w:pPr>
        <w:pStyle w:val="BodyText"/>
      </w:pPr>
      <w:r>
        <w:t xml:space="preserve">Tax ID (INN): 7729876543</w:t>
      </w:r>
    </w:p>
    <w:p>
      <w:pPr>
        <w:pStyle w:val="BodyText"/>
      </w:pPr>
      <w:r>
        <w:t xml:space="preserve">Phone: +7 (495) 777-3321</w:t>
      </w:r>
    </w:p>
    <w:p>
      <w:pPr>
        <w:pStyle w:val="BodyText"/>
      </w:pPr>
      <w:r>
        <w:t xml:space="preserve">Email: sales@pharmadistribut.ru</w:t>
      </w:r>
    </w:p>
    <w:bookmarkEnd w:id="22"/>
    <w:p>
      <w:pPr>
        <w:pStyle w:val="BodyText"/>
      </w:pPr>
      <w:r>
        <w:t xml:space="preserve">SHIP TO / DELIVERY ADDRESS</w:t>
      </w:r>
    </w:p>
    <w:p>
      <w:pPr>
        <w:pStyle w:val="BodyText"/>
      </w:pPr>
      <w:r>
        <w:t xml:space="preserve">Apteka Zdravie LLC — Central Chemist Warehouse</w:t>
      </w:r>
      <w:r>
        <w:br/>
      </w:r>
      <w:r>
        <w:t xml:space="preserve">45 Krasnodarskaya Street, Storage Facility B</w:t>
      </w:r>
      <w:r>
        <w:br/>
      </w:r>
      <w:r>
        <w:t xml:space="preserve">Moscow, Russia Moscow, 119021</w:t>
      </w:r>
      <w:r>
        <w:br/>
      </w:r>
      <w:r>
        <w:t xml:space="preserve">Contact on Delivery: Dmitry Volkov, Warehouse Manager</w:t>
      </w:r>
      <w:r>
        <w:br/>
      </w:r>
      <w:r>
        <w:t xml:space="preserve">Phone: +7 (916) 234-5678</w:t>
      </w:r>
    </w:p>
    <w:p>
      <w:pPr>
        <w:pStyle w:val="BodyText"/>
      </w:pPr>
      <w:r>
        <w:t xml:space="preserve">LINE ITEMS — Chemist Inventory &amp; Pharmaceutical Products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SKU / Reg. No.</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001</w:t>
            </w:r>
          </w:p>
        </w:tc>
        <w:tc>
          <w:tcPr/>
          <w:p>
            <w:pPr>
              <w:pStyle w:val="Compact"/>
              <w:jc w:val="left"/>
            </w:pPr>
            <w:r>
              <w:t xml:space="preserve">Paracetamol 500 mg Tablets, 200-tablet blister pack (Chemist OTC stock)</w:t>
            </w:r>
          </w:p>
        </w:tc>
        <w:tc>
          <w:tcPr/>
          <w:p>
            <w:pPr>
              <w:pStyle w:val="Compact"/>
              <w:jc w:val="left"/>
            </w:pPr>
            <w:r>
              <w:t xml:space="preserve">RU-OTC-110234</w:t>
            </w:r>
          </w:p>
        </w:tc>
        <w:tc>
          <w:tcPr/>
          <w:p>
            <w:pPr>
              <w:pStyle w:val="Compact"/>
              <w:jc w:val="left"/>
            </w:pPr>
            <w:r>
              <w:t xml:space="preserve">500</w:t>
            </w:r>
          </w:p>
        </w:tc>
        <w:tc>
          <w:tcPr/>
          <w:p>
            <w:pPr>
              <w:pStyle w:val="Compact"/>
              <w:jc w:val="left"/>
            </w:pPr>
            <w:r>
              <w:t xml:space="preserve">Box</w:t>
            </w:r>
          </w:p>
        </w:tc>
        <w:tc>
          <w:tcPr/>
          <w:p>
            <w:pPr>
              <w:pStyle w:val="Compact"/>
              <w:jc w:val="left"/>
            </w:pPr>
            <w:r>
              <w:t xml:space="preserve">185.00</w:t>
            </w:r>
          </w:p>
        </w:tc>
        <w:tc>
          <w:tcPr/>
          <w:p>
            <w:pPr>
              <w:pStyle w:val="Compact"/>
              <w:jc w:val="left"/>
            </w:pPr>
            <w:r>
              <w:t xml:space="preserve">92,500.00</w:t>
            </w:r>
          </w:p>
        </w:tc>
      </w:tr>
      <w:tr>
        <w:tc>
          <w:tcPr/>
          <w:p>
            <w:pPr>
              <w:pStyle w:val="Compact"/>
              <w:jc w:val="left"/>
            </w:pPr>
            <w:r>
              <w:t xml:space="preserve">002</w:t>
            </w:r>
          </w:p>
        </w:tc>
        <w:tc>
          <w:tcPr/>
          <w:p>
            <w:pPr>
              <w:pStyle w:val="Compact"/>
              <w:jc w:val="left"/>
            </w:pPr>
            <w:r>
              <w:t xml:space="preserve">Ibuprofen 400 mg Capsules, 100-capsule bottle (Chemist analgesic range)</w:t>
            </w:r>
          </w:p>
        </w:tc>
        <w:tc>
          <w:tcPr/>
          <w:p>
            <w:pPr>
              <w:pStyle w:val="Compact"/>
              <w:jc w:val="left"/>
            </w:pPr>
            <w:r>
              <w:t xml:space="preserve">RU-OTC-110891</w:t>
            </w:r>
          </w:p>
        </w:tc>
        <w:tc>
          <w:tcPr/>
          <w:p>
            <w:pPr>
              <w:pStyle w:val="Compact"/>
              <w:jc w:val="left"/>
            </w:pPr>
            <w:r>
              <w:t xml:space="preserve">350</w:t>
            </w:r>
          </w:p>
        </w:tc>
        <w:tc>
          <w:tcPr/>
          <w:p>
            <w:pPr>
              <w:pStyle w:val="Compact"/>
              <w:jc w:val="left"/>
            </w:pPr>
            <w:r>
              <w:t xml:space="preserve">Bottle</w:t>
            </w:r>
          </w:p>
        </w:tc>
        <w:tc>
          <w:tcPr/>
          <w:p>
            <w:pPr>
              <w:pStyle w:val="Compact"/>
              <w:jc w:val="left"/>
            </w:pPr>
            <w:r>
              <w:t xml:space="preserve">240.00</w:t>
            </w:r>
          </w:p>
        </w:tc>
        <w:tc>
          <w:tcPr/>
          <w:p>
            <w:pPr>
              <w:pStyle w:val="Compact"/>
              <w:jc w:val="left"/>
            </w:pPr>
            <w:r>
              <w:t xml:space="preserve">84,000.00</w:t>
            </w:r>
          </w:p>
        </w:tc>
      </w:tr>
      <w:tr>
        <w:tc>
          <w:tcPr/>
          <w:p>
            <w:pPr>
              <w:pStyle w:val="Compact"/>
              <w:jc w:val="left"/>
            </w:pPr>
            <w:r>
              <w:t xml:space="preserve">003</w:t>
            </w:r>
          </w:p>
        </w:tc>
        <w:tc>
          <w:tcPr/>
          <w:p>
            <w:pPr>
              <w:pStyle w:val="Compact"/>
              <w:jc w:val="left"/>
            </w:pPr>
            <w:r>
              <w:t xml:space="preserve">Amoxicillin 500 mg Capsules, 21-capsule pack (Prescription — Chemist Rx shelf)</w:t>
            </w:r>
          </w:p>
        </w:tc>
        <w:tc>
          <w:tcPr/>
          <w:p>
            <w:pPr>
              <w:pStyle w:val="Compact"/>
              <w:jc w:val="left"/>
            </w:pPr>
            <w:r>
              <w:t xml:space="preserve">RU-RX-220456</w:t>
            </w:r>
          </w:p>
        </w:tc>
        <w:tc>
          <w:tcPr/>
          <w:p>
            <w:pPr>
              <w:pStyle w:val="Compact"/>
              <w:jc w:val="left"/>
            </w:pPr>
            <w:r>
              <w:t xml:space="preserve">200</w:t>
            </w:r>
          </w:p>
        </w:tc>
        <w:tc>
          <w:tcPr/>
          <w:p>
            <w:pPr>
              <w:pStyle w:val="Compact"/>
              <w:jc w:val="left"/>
            </w:pPr>
            <w:r>
              <w:t xml:space="preserve">Box</w:t>
            </w:r>
          </w:p>
        </w:tc>
        <w:tc>
          <w:tcPr/>
          <w:p>
            <w:pPr>
              <w:pStyle w:val="Compact"/>
              <w:jc w:val="left"/>
            </w:pPr>
            <w:r>
              <w:t xml:space="preserve">310.00</w:t>
            </w:r>
          </w:p>
        </w:tc>
        <w:tc>
          <w:tcPr/>
          <w:p>
            <w:pPr>
              <w:pStyle w:val="Compact"/>
              <w:jc w:val="left"/>
            </w:pPr>
            <w:r>
              <w:t xml:space="preserve">62,000.00</w:t>
            </w:r>
          </w:p>
        </w:tc>
      </w:tr>
      <w:tr>
        <w:tc>
          <w:tcPr/>
          <w:p>
            <w:pPr>
              <w:pStyle w:val="Compact"/>
              <w:jc w:val="left"/>
            </w:pPr>
            <w:r>
              <w:t xml:space="preserve">004</w:t>
            </w:r>
          </w:p>
        </w:tc>
        <w:tc>
          <w:tcPr/>
          <w:p>
            <w:pPr>
              <w:pStyle w:val="Compact"/>
              <w:jc w:val="left"/>
            </w:pPr>
            <w:r>
              <w:t xml:space="preserve">Saline Nasal Spray 10 ml, sterile solution (Chemist first-aid &amp; allergy section)</w:t>
            </w:r>
          </w:p>
        </w:tc>
        <w:tc>
          <w:tcPr/>
          <w:p>
            <w:pPr>
              <w:pStyle w:val="Compact"/>
              <w:jc w:val="left"/>
            </w:pPr>
            <w:r>
              <w:t xml:space="preserve">RU-OTC-115678</w:t>
            </w:r>
          </w:p>
        </w:tc>
        <w:tc>
          <w:tcPr/>
          <w:p>
            <w:pPr>
              <w:pStyle w:val="Compact"/>
              <w:jc w:val="left"/>
            </w:pPr>
            <w:r>
              <w:t xml:space="preserve">400</w:t>
            </w:r>
          </w:p>
        </w:tc>
        <w:tc>
          <w:tcPr/>
          <w:p>
            <w:pPr>
              <w:pStyle w:val="Compact"/>
              <w:jc w:val="left"/>
            </w:pPr>
            <w:r>
              <w:t xml:space="preserve">Unit</w:t>
            </w:r>
          </w:p>
        </w:tc>
        <w:tc>
          <w:tcPr/>
          <w:p>
            <w:pPr>
              <w:pStyle w:val="Compact"/>
              <w:jc w:val="left"/>
            </w:pPr>
            <w:r>
              <w:t xml:space="preserve">95.00</w:t>
            </w:r>
          </w:p>
        </w:tc>
        <w:tc>
          <w:tcPr/>
          <w:p>
            <w:pPr>
              <w:pStyle w:val="Compact"/>
              <w:jc w:val="left"/>
            </w:pPr>
            <w:r>
              <w:t xml:space="preserve">38,000.00</w:t>
            </w:r>
          </w:p>
        </w:tc>
      </w:tr>
      <w:tr>
        <w:tc>
          <w:tcPr/>
          <w:p>
            <w:pPr>
              <w:pStyle w:val="Compact"/>
              <w:jc w:val="left"/>
            </w:pPr>
            <w:r>
              <w:t xml:space="preserve">005</w:t>
            </w:r>
          </w:p>
        </w:tc>
        <w:tc>
          <w:tcPr/>
          <w:p>
            <w:pPr>
              <w:pStyle w:val="Compact"/>
              <w:jc w:val="left"/>
            </w:pPr>
            <w:r>
              <w:t xml:space="preserve">Digital Thermometer, medical-grade, CE &amp; EAC certified (Chemist equipment)</w:t>
            </w:r>
          </w:p>
        </w:tc>
        <w:tc>
          <w:tcPr/>
          <w:p>
            <w:pPr>
              <w:pStyle w:val="Compact"/>
              <w:jc w:val="left"/>
            </w:pPr>
            <w:r>
              <w:t xml:space="preserve">RU-EQP-330112</w:t>
            </w:r>
          </w:p>
        </w:tc>
        <w:tc>
          <w:tcPr/>
          <w:p>
            <w:pPr>
              <w:pStyle w:val="Compact"/>
              <w:jc w:val="left"/>
            </w:pPr>
            <w:r>
              <w:t xml:space="preserve">150</w:t>
            </w:r>
          </w:p>
        </w:tc>
        <w:tc>
          <w:tcPr/>
          <w:p>
            <w:pPr>
              <w:pStyle w:val="Compact"/>
              <w:jc w:val="left"/>
            </w:pPr>
            <w:r>
              <w:t xml:space="preserve">Unit</w:t>
            </w:r>
          </w:p>
        </w:tc>
        <w:tc>
          <w:tcPr/>
          <w:p>
            <w:pPr>
              <w:pStyle w:val="Compact"/>
              <w:jc w:val="left"/>
            </w:pPr>
            <w:r>
              <w:t xml:space="preserve">420.00</w:t>
            </w:r>
          </w:p>
        </w:tc>
        <w:tc>
          <w:tcPr/>
          <w:p>
            <w:pPr>
              <w:pStyle w:val="Compact"/>
              <w:jc w:val="left"/>
            </w:pPr>
            <w:r>
              <w:t xml:space="preserve">63,000.00</w:t>
            </w:r>
          </w:p>
        </w:tc>
      </w:tr>
      <w:tr>
        <w:tc>
          <w:tcPr/>
          <w:p>
            <w:pPr>
              <w:pStyle w:val="Compact"/>
              <w:jc w:val="left"/>
            </w:pPr>
            <w:r>
              <w:t xml:space="preserve">006</w:t>
            </w:r>
          </w:p>
        </w:tc>
        <w:tc>
          <w:tcPr/>
          <w:p>
            <w:pPr>
              <w:pStyle w:val="Compact"/>
              <w:jc w:val="left"/>
            </w:pPr>
            <w:r>
              <w:t xml:space="preserve">Blood Pressure Monitor, upper-arm, automatic (Chemist diagnostic equipment)</w:t>
            </w:r>
          </w:p>
        </w:tc>
        <w:tc>
          <w:tcPr/>
          <w:p>
            <w:pPr>
              <w:pStyle w:val="Compact"/>
              <w:jc w:val="left"/>
            </w:pPr>
            <w:r>
              <w:t xml:space="preserve">RU-EQP-330445</w:t>
            </w:r>
          </w:p>
        </w:tc>
        <w:tc>
          <w:tcPr/>
          <w:p>
            <w:pPr>
              <w:pStyle w:val="Compact"/>
              <w:jc w:val="left"/>
            </w:pPr>
            <w:r>
              <w:t xml:space="preserve">80</w:t>
            </w:r>
          </w:p>
        </w:tc>
        <w:tc>
          <w:tcPr/>
          <w:p>
            <w:pPr>
              <w:pStyle w:val="Compact"/>
              <w:jc w:val="left"/>
            </w:pPr>
            <w:r>
              <w:t xml:space="preserve">Unit</w:t>
            </w:r>
          </w:p>
        </w:tc>
        <w:tc>
          <w:tcPr/>
          <w:p>
            <w:pPr>
              <w:pStyle w:val="Compact"/>
              <w:jc w:val="left"/>
            </w:pPr>
            <w:r>
              <w:t xml:space="preserve">2,850.00</w:t>
            </w:r>
          </w:p>
        </w:tc>
        <w:tc>
          <w:tcPr/>
          <w:p>
            <w:pPr>
              <w:pStyle w:val="Compact"/>
              <w:jc w:val="left"/>
            </w:pPr>
            <w:r>
              <w:t xml:space="preserve">228,000.00</w:t>
            </w:r>
          </w:p>
        </w:tc>
      </w:tr>
      <w:tr>
        <w:tc>
          <w:tcPr/>
          <w:p>
            <w:pPr>
              <w:pStyle w:val="Compact"/>
              <w:jc w:val="left"/>
            </w:pPr>
            <w:r>
              <w:t xml:space="preserve">007</w:t>
            </w:r>
          </w:p>
        </w:tc>
        <w:tc>
          <w:tcPr/>
          <w:p>
            <w:pPr>
              <w:pStyle w:val="Compact"/>
              <w:jc w:val="left"/>
            </w:pPr>
            <w:r>
              <w:t xml:space="preserve">Vitamin D3 2000 IU Softgels, 90-count (Chemist supplement range)</w:t>
            </w:r>
          </w:p>
        </w:tc>
        <w:tc>
          <w:tcPr/>
          <w:p>
            <w:pPr>
              <w:pStyle w:val="Compact"/>
              <w:jc w:val="left"/>
            </w:pPr>
            <w:r>
              <w:t xml:space="preserve">RU-SUP-440231</w:t>
            </w:r>
          </w:p>
        </w:tc>
        <w:tc>
          <w:tcPr/>
          <w:p>
            <w:pPr>
              <w:pStyle w:val="Compact"/>
              <w:jc w:val="left"/>
            </w:pPr>
            <w:r>
              <w:t xml:space="preserve">300</w:t>
            </w:r>
          </w:p>
        </w:tc>
        <w:tc>
          <w:tcPr/>
          <w:p>
            <w:pPr>
              <w:pStyle w:val="Compact"/>
              <w:jc w:val="left"/>
            </w:pPr>
            <w:r>
              <w:t xml:space="preserve">Bottle</w:t>
            </w:r>
          </w:p>
        </w:tc>
        <w:tc>
          <w:tcPr/>
          <w:p>
            <w:pPr>
              <w:pStyle w:val="Compact"/>
              <w:jc w:val="left"/>
            </w:pPr>
            <w:r>
              <w:t xml:space="preserve">560.00</w:t>
            </w:r>
          </w:p>
        </w:tc>
        <w:tc>
          <w:tcPr/>
          <w:p>
            <w:pPr>
              <w:pStyle w:val="Compact"/>
              <w:jc w:val="left"/>
            </w:pPr>
            <w:r>
              <w:t xml:space="preserve">168,000.00</w:t>
            </w:r>
          </w:p>
        </w:tc>
      </w:tr>
      <w:tr>
        <w:tc>
          <w:tcPr/>
          <w:p>
            <w:pPr>
              <w:pStyle w:val="Compact"/>
              <w:jc w:val="left"/>
            </w:pPr>
            <w:r>
              <w:t xml:space="preserve">008</w:t>
            </w:r>
          </w:p>
        </w:tc>
        <w:tc>
          <w:tcPr/>
          <w:p>
            <w:pPr>
              <w:pStyle w:val="Compact"/>
              <w:jc w:val="left"/>
            </w:pPr>
            <w:r>
              <w:t xml:space="preserve">Antiseptic Solution Chlorhexidine 0.05%, 100 ml (Chemist wound-care)</w:t>
            </w:r>
          </w:p>
        </w:tc>
        <w:tc>
          <w:tcPr/>
          <w:p>
            <w:pPr>
              <w:pStyle w:val="Compact"/>
              <w:jc w:val="left"/>
            </w:pPr>
            <w:r>
              <w:t xml:space="preserve">RU-OTC-118902</w:t>
            </w:r>
          </w:p>
        </w:tc>
        <w:tc>
          <w:tcPr/>
          <w:p>
            <w:pPr>
              <w:pStyle w:val="Compact"/>
              <w:jc w:val="left"/>
            </w:pPr>
            <w:r>
              <w:t xml:space="preserve">600</w:t>
            </w:r>
          </w:p>
        </w:tc>
        <w:tc>
          <w:tcPr/>
          <w:p>
            <w:pPr>
              <w:pStyle w:val="Compact"/>
              <w:jc w:val="left"/>
            </w:pPr>
            <w:r>
              <w:t xml:space="preserve">Bottle</w:t>
            </w:r>
          </w:p>
        </w:tc>
        <w:tc>
          <w:tcPr/>
          <w:p>
            <w:pPr>
              <w:pStyle w:val="Compact"/>
              <w:jc w:val="left"/>
            </w:pPr>
            <w:r>
              <w:t xml:space="preserve">78.00</w:t>
            </w:r>
          </w:p>
        </w:tc>
        <w:tc>
          <w:tcPr/>
          <w:p>
            <w:pPr>
              <w:pStyle w:val="Compact"/>
              <w:jc w:val="left"/>
            </w:pPr>
            <w:r>
              <w:t xml:space="preserve">46,800.00</w:t>
            </w:r>
          </w:p>
        </w:tc>
      </w:tr>
      <w:tr>
        <w:tc>
          <w:tcPr/>
          <w:p>
            <w:pPr>
              <w:pStyle w:val="Compact"/>
              <w:jc w:val="left"/>
            </w:pPr>
            <w:r>
              <w:t xml:space="preserve">009</w:t>
            </w:r>
          </w:p>
        </w:tc>
        <w:tc>
          <w:tcPr/>
          <w:p>
            <w:pPr>
              <w:pStyle w:val="Compact"/>
              <w:jc w:val="left"/>
            </w:pPr>
            <w:r>
              <w:t xml:space="preserve">Pharmaceutical Refrigerator, 200 L, temperature-controlled (Chemist cold-chain storage)</w:t>
            </w:r>
          </w:p>
        </w:tc>
        <w:tc>
          <w:tcPr/>
          <w:p>
            <w:pPr>
              <w:pStyle w:val="Compact"/>
              <w:jc w:val="left"/>
            </w:pPr>
            <w:r>
              <w:t xml:space="preserve">RU-EQP-335678</w:t>
            </w:r>
          </w:p>
        </w:tc>
        <w:tc>
          <w:tcPr/>
          <w:p>
            <w:pPr>
              <w:pStyle w:val="Compact"/>
              <w:jc w:val="left"/>
            </w:pPr>
            <w:r>
              <w:t xml:space="preserve">4</w:t>
            </w:r>
          </w:p>
        </w:tc>
        <w:tc>
          <w:tcPr/>
          <w:p>
            <w:pPr>
              <w:pStyle w:val="Compact"/>
              <w:jc w:val="left"/>
            </w:pPr>
            <w:r>
              <w:t xml:space="preserve">Unit</w:t>
            </w:r>
          </w:p>
        </w:tc>
        <w:tc>
          <w:tcPr/>
          <w:p>
            <w:pPr>
              <w:pStyle w:val="Compact"/>
              <w:jc w:val="left"/>
            </w:pPr>
            <w:r>
              <w:t xml:space="preserve">85,000.00</w:t>
            </w:r>
          </w:p>
        </w:tc>
        <w:tc>
          <w:tcPr/>
          <w:p>
            <w:pPr>
              <w:pStyle w:val="Compact"/>
              <w:jc w:val="left"/>
            </w:pPr>
            <w:r>
              <w:t xml:space="preserve">340,000.00</w:t>
            </w:r>
          </w:p>
        </w:tc>
      </w:tr>
      <w:tr>
        <w:tc>
          <w:tcPr/>
          <w:p>
            <w:pPr>
              <w:pStyle w:val="Compact"/>
              <w:jc w:val="left"/>
            </w:pPr>
            <w:r>
              <w:t xml:space="preserve">010</w:t>
            </w:r>
          </w:p>
        </w:tc>
        <w:tc>
          <w:tcPr/>
          <w:p>
            <w:pPr>
              <w:pStyle w:val="Compact"/>
              <w:jc w:val="left"/>
            </w:pPr>
            <w:r>
              <w:t xml:space="preserve">Disposable Medical Gloves, nitrile, size M, 100-pair box (Chemist PPE)</w:t>
            </w:r>
          </w:p>
        </w:tc>
        <w:tc>
          <w:tcPr/>
          <w:p>
            <w:pPr>
              <w:pStyle w:val="Compact"/>
              <w:jc w:val="left"/>
            </w:pPr>
            <w:r>
              <w:t xml:space="preserve">RU-PPE-550112</w:t>
            </w:r>
          </w:p>
        </w:tc>
        <w:tc>
          <w:tcPr/>
          <w:p>
            <w:pPr>
              <w:pStyle w:val="Compact"/>
              <w:jc w:val="left"/>
            </w:pPr>
            <w:r>
              <w:t xml:space="preserve">250</w:t>
            </w:r>
          </w:p>
        </w:tc>
        <w:tc>
          <w:tcPr/>
          <w:p>
            <w:pPr>
              <w:pStyle w:val="Compact"/>
              <w:jc w:val="left"/>
            </w:pPr>
            <w:r>
              <w:t xml:space="preserve">Box</w:t>
            </w:r>
          </w:p>
        </w:tc>
        <w:tc>
          <w:tcPr/>
          <w:p>
            <w:pPr>
              <w:pStyle w:val="Compact"/>
              <w:jc w:val="left"/>
            </w:pPr>
            <w:r>
              <w:t xml:space="preserve">320.00</w:t>
            </w:r>
          </w:p>
        </w:tc>
        <w:tc>
          <w:tcPr/>
          <w:p>
            <w:pPr>
              <w:pStyle w:val="Compact"/>
              <w:jc w:val="left"/>
            </w:pPr>
            <w:r>
              <w:t xml:space="preserve">80,000.00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1,202,300.00 RUB</w:t>
            </w:r>
          </w:p>
        </w:tc>
      </w:tr>
      <w:tr>
        <w:tc>
          <w:tcPr/>
          <w:p>
            <w:pPr>
              <w:pStyle w:val="Compact"/>
              <w:jc w:val="left"/>
            </w:pPr>
            <w:r>
              <w:t xml:space="preserve">VAT (20%):</w:t>
            </w:r>
          </w:p>
        </w:tc>
        <w:tc>
          <w:tcPr/>
          <w:p>
            <w:pPr>
              <w:pStyle w:val="Compact"/>
              <w:jc w:val="right"/>
            </w:pPr>
            <w:r>
              <w:t xml:space="preserve">240,460.00 RUB</w:t>
            </w:r>
          </w:p>
        </w:tc>
      </w:tr>
      <w:tr>
        <w:tc>
          <w:tcPr/>
          <w:p>
            <w:pPr>
              <w:pStyle w:val="Compact"/>
              <w:jc w:val="left"/>
            </w:pPr>
            <w:r>
              <w:t xml:space="preserve">Delivery &amp; Handling (Moscow, Russia Moscow):</w:t>
            </w:r>
          </w:p>
        </w:tc>
        <w:tc>
          <w:tcPr/>
          <w:p>
            <w:pPr>
              <w:pStyle w:val="Compact"/>
              <w:jc w:val="right"/>
            </w:pPr>
            <w:r>
              <w:t xml:space="preserve">12,500.00 RUB</w:t>
            </w:r>
          </w:p>
        </w:tc>
      </w:tr>
      <w:tr>
        <w:tc>
          <w:tcPr/>
          <w:p>
            <w:pPr>
              <w:pStyle w:val="Compact"/>
              <w:jc w:val="left"/>
            </w:pPr>
            <w:r>
              <w:t xml:space="preserve">GRAND TOTAL:</w:t>
            </w:r>
          </w:p>
        </w:tc>
        <w:tc>
          <w:tcPr/>
          <w:p>
            <w:pPr>
              <w:pStyle w:val="Compact"/>
              <w:jc w:val="right"/>
            </w:pPr>
            <w:r>
              <w:t xml:space="preserve">1,455,260.00 RUB</w:t>
            </w:r>
          </w:p>
        </w:tc>
      </w:tr>
    </w:tbl>
    <w:p>
      <w:pPr>
        <w:pStyle w:val="BodyText"/>
      </w:pPr>
      <w:r>
        <w:t xml:space="preserve">TERMS AND CONDITIONS</w:t>
      </w:r>
    </w:p>
    <w:p>
      <w:pPr>
        <w:numPr>
          <w:ilvl w:val="0"/>
          <w:numId w:val="1001"/>
        </w:numPr>
        <w:pStyle w:val="Compact"/>
      </w:pPr>
      <w:r>
        <w:t xml:space="preserve">This Purchase Order is issued by Apteka Zdravie LLC, a licensed chemist and pharmaceutical retail establishment operating in Russia Moscow, in accordance with Federal Law No. 61-FZ "On Circulation of Medicines in the Russian Federation."</w:t>
      </w:r>
    </w:p>
    <w:p>
      <w:pPr>
        <w:numPr>
          <w:ilvl w:val="0"/>
          <w:numId w:val="1001"/>
        </w:numPr>
        <w:pStyle w:val="Compact"/>
      </w:pPr>
      <w:r>
        <w:t xml:space="preserve">All pharmaceutical products listed in this Purchase Order must comply with the registration requirements of the Federal Service for Surveillance in Healthcare (Roszdravnadzor) and must bear valid EAC conformity marking for distribution within Russia Moscow and the broader Russian Federation.</w:t>
      </w:r>
    </w:p>
    <w:p>
      <w:pPr>
        <w:numPr>
          <w:ilvl w:val="0"/>
          <w:numId w:val="1001"/>
        </w:numPr>
        <w:pStyle w:val="Compact"/>
      </w:pPr>
      <w:r>
        <w:t xml:space="preserve">The supplier, PharmaDistribut Moscow JSC, warrants that all goods are genuine, unexpired, and stored under appropriate temperature and humidity conditions consistent with Good Distribution Practice (GDP) standards applicable to chemist supply chains in Russia Moscow.</w:t>
      </w:r>
    </w:p>
    <w:p>
      <w:pPr>
        <w:numPr>
          <w:ilvl w:val="0"/>
          <w:numId w:val="1001"/>
        </w:numPr>
        <w:pStyle w:val="Compact"/>
      </w:pPr>
      <w:r>
        <w:t xml:space="preserve">Delivery shall be made DDP (Delivered Duty Paid) to the designated chemist warehouse address in Russia Moscow no later than the Required Delivery Date stated above. Late delivery beyond five (5) business days entitles the buyer to cancel this Purchase Order without penalty.</w:t>
      </w:r>
    </w:p>
    <w:p>
      <w:pPr>
        <w:numPr>
          <w:ilvl w:val="0"/>
          <w:numId w:val="1001"/>
        </w:numPr>
        <w:pStyle w:val="Compact"/>
      </w:pPr>
      <w:r>
        <w:t xml:space="preserve">Payment shall be made via bank transfer to the supplier's designated account within thirty (30) calendar days of the date of invoice, in Russian Rubles (RUB), in accordance with the payment terms specified in this Purchase Order.</w:t>
      </w:r>
    </w:p>
    <w:p>
      <w:pPr>
        <w:numPr>
          <w:ilvl w:val="0"/>
          <w:numId w:val="1001"/>
        </w:numPr>
        <w:pStyle w:val="Compact"/>
      </w:pPr>
      <w:r>
        <w:t xml:space="preserve">The supplier shall provide a complete delivery note, certificate of conformity, and batch/lot traceability documentation for each line item upon delivery to the chemist facility in Russia Moscow.</w:t>
      </w:r>
    </w:p>
    <w:p>
      <w:pPr>
        <w:numPr>
          <w:ilvl w:val="0"/>
          <w:numId w:val="1001"/>
        </w:numPr>
        <w:pStyle w:val="Compact"/>
      </w:pPr>
      <w:r>
        <w:t xml:space="preserve">Any discrepancy in quantity, quality, or condition of goods upon receipt must be reported in writing to the supplier within forty-eight (48) hours of delivery. The supplier shall replace defective or non-conforming items at no additional cost to the chemist buyer.</w:t>
      </w:r>
    </w:p>
    <w:p>
      <w:pPr>
        <w:numPr>
          <w:ilvl w:val="0"/>
          <w:numId w:val="1001"/>
        </w:numPr>
        <w:pStyle w:val="Compact"/>
      </w:pPr>
      <w:r>
        <w:t xml:space="preserve">This Purchase Order is governed by the civil law of the Russian Federation. Any disputes arising from this Purchase Order shall be resolved through the Arbitration Court of the City of Moscow, Russia Moscow.</w:t>
      </w:r>
    </w:p>
    <w:p>
      <w:pPr>
        <w:numPr>
          <w:ilvl w:val="0"/>
          <w:numId w:val="1001"/>
        </w:numPr>
        <w:pStyle w:val="Compact"/>
      </w:pPr>
      <w:r>
        <w:t xml:space="preserve">The supplier acknowledges that the buyer operates as a regulated chemist in Russia Moscow and that all prescription items (marked "Rx") shall be transferred only against valid prescription records maintained in the buyer's pharmacy information system.</w:t>
      </w:r>
    </w:p>
    <w:p>
      <w:pPr>
        <w:numPr>
          <w:ilvl w:val="0"/>
          <w:numId w:val="1001"/>
        </w:numPr>
        <w:pStyle w:val="Compact"/>
      </w:pPr>
      <w:r>
        <w:t xml:space="preserve">This Purchase Order becomes effective upon written or electronic acceptance by both parties and remains valid until the "Valid Until" date unless extended in writing by mutual agreement.</w:t>
      </w:r>
    </w:p>
    <w:p>
      <w:pPr>
        <w:pStyle w:val="FirstParagraph"/>
      </w:pPr>
      <w:r>
        <w:t xml:space="preserve">AUTHORIZATION &amp; SIGNATURES</w:t>
      </w:r>
    </w:p>
    <w:p>
      <w:pPr>
        <w:pStyle w:val="BodyText"/>
      </w:pPr>
      <w:r>
        <w:rPr>
          <w:bCs/>
          <w:b/>
        </w:rPr>
        <w:t xml:space="preserve">For and on behalf of the Buyer (Chemist):</w:t>
      </w:r>
    </w:p>
    <w:p>
      <w:pPr>
        <w:pStyle w:val="BodyText"/>
      </w:pPr>
      <w:r>
        <w:rPr>
          <w:bCs/>
          <w:b/>
        </w:rPr>
        <w:t xml:space="preserve">Anna S. Petrova</w:t>
      </w:r>
    </w:p>
    <w:p>
      <w:pPr>
        <w:pStyle w:val="BodyText"/>
      </w:pPr>
      <w:r>
        <w:t xml:space="preserve">Head of Procurement, Apteka Zdravie LLC</w:t>
      </w:r>
    </w:p>
    <w:p>
      <w:pPr>
        <w:pStyle w:val="BodyText"/>
      </w:pPr>
      <w:r>
        <w:t xml:space="preserve">Date: _______________</w:t>
      </w:r>
    </w:p>
    <w:p>
      <w:pPr>
        <w:pStyle w:val="BodyText"/>
      </w:pPr>
      <w:r>
        <w:rPr>
          <w:bCs/>
          <w:b/>
        </w:rPr>
        <w:t xml:space="preserve">For and on behalf of the Supplier:</w:t>
      </w:r>
    </w:p>
    <w:p>
      <w:pPr>
        <w:pStyle w:val="BodyText"/>
      </w:pPr>
      <w:r>
        <w:rPr>
          <w:bCs/>
          <w:b/>
        </w:rPr>
        <w:t xml:space="preserve">Mikhail I. Sokolov</w:t>
      </w:r>
    </w:p>
    <w:p>
      <w:pPr>
        <w:pStyle w:val="BodyText"/>
      </w:pPr>
      <w:r>
        <w:t xml:space="preserve">Director of Sales, PharmaDistribut Moscow JSC</w:t>
      </w:r>
    </w:p>
    <w:p>
      <w:pPr>
        <w:pStyle w:val="BodyText"/>
      </w:pPr>
      <w:r>
        <w:t xml:space="preserve">Date: _______________</w:t>
      </w:r>
    </w:p>
    <w:p>
      <w:pPr>
        <w:pStyle w:val="BodyText"/>
      </w:pPr>
      <w:r>
        <w:t xml:space="preserve">This Purchase Order (PO-RM-2025-04872) was generated for the chemist supply chain in Russia Moscow. All pharmaceutical products are subject to regulatory compliance under Roszdravnadzor. Document reference: CHM-RM-2025-Q2. © 2025 Apteka Zdravie LLC, Moscow, Russia Moscow.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Supply - Russia Moscow</dc:title>
  <dc:creator/>
  <dc:language>en</dc:language>
  <cp:keywords/>
  <dcterms:created xsi:type="dcterms:W3CDTF">2026-10-10T09:09:48Z</dcterms:created>
  <dcterms:modified xsi:type="dcterms:W3CDTF">2026-10-10T09:09:48Z</dcterms:modified>
</cp:coreProperties>
</file>

<file path=docProps/custom.xml><?xml version="1.0" encoding="utf-8"?>
<Properties xmlns="http://schemas.openxmlformats.org/officeDocument/2006/custom-properties" xmlns:vt="http://schemas.openxmlformats.org/officeDocument/2006/docPropsVTypes"/>
</file>