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Al-Nakheel Pharmaceutical Distribution Co., Ltd.</w:t>
      </w:r>
    </w:p>
    <w:p>
      <w:pPr>
        <w:pStyle w:val="BodyText"/>
      </w:pPr>
      <w:r>
        <w:t xml:space="preserve">Office 12, King Fahd Road, Al Olaya District, Riyadh 12212, Saudi Arabia</w:t>
      </w:r>
    </w:p>
    <w:p>
      <w:pPr>
        <w:pStyle w:val="BodyText"/>
      </w:pPr>
      <w:r>
        <w:t xml:space="preserve">CR No. 1010456789 | VAT No. 310123456700003 | Phone: +966 11 456 7890 | Email: procurement@alnakheel-pharma.sa</w:t>
      </w:r>
    </w:p>
    <w:bookmarkEnd w:id="20"/>
    <w:p>
      <w:pPr>
        <w:pStyle w:val="BodyText"/>
      </w:pPr>
      <w:r>
        <w:rPr>
          <w:bCs/>
          <w:b/>
        </w:rPr>
        <w:t xml:space="preserve">Purchase Order No.:</w:t>
      </w:r>
      <w:r>
        <w:t xml:space="preserve"> </w:t>
      </w:r>
      <w:r>
        <w:t xml:space="preserve">PO-2025-RYD-04872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Terms:</w:t>
      </w:r>
      <w:r>
        <w:t xml:space="preserve"> </w:t>
      </w:r>
      <w:r>
        <w:t xml:space="preserve">DAP – Riyadh, Saudi Arabia</w:t>
      </w:r>
      <w:r>
        <w:br/>
      </w:r>
      <w:r>
        <w:rPr>
          <w:bCs/>
          <w:b/>
        </w:rPr>
        <w:t xml:space="preserve">Incoterms:</w:t>
      </w:r>
      <w:r>
        <w:t xml:space="preserve"> </w:t>
      </w:r>
      <w:r>
        <w:t xml:space="preserve">DAP 2020</w:t>
      </w:r>
    </w:p>
    <w:p>
      <w:pPr>
        <w:pStyle w:val="BodyText"/>
      </w:pPr>
      <w:r>
        <w:t xml:space="preserve">Supplier / Chemist Details</w:t>
      </w:r>
    </w:p>
    <w:bookmarkStart w:id="21" w:name="chemist-supplier"/>
    <w:p>
      <w:pPr>
        <w:pStyle w:val="Heading3"/>
      </w:pPr>
      <w:r>
        <w:t xml:space="preserve">Chemist (Supplier)</w:t>
      </w:r>
    </w:p>
    <w:p>
      <w:pPr>
        <w:pStyle w:val="FirstParagraph"/>
      </w:pPr>
      <w:r>
        <w:rPr>
          <w:bCs/>
          <w:b/>
        </w:rPr>
        <w:t xml:space="preserve">Al-Riyadh Central Chemist &amp; Pharmacy</w:t>
      </w:r>
      <w:r>
        <w:br/>
      </w:r>
      <w:r>
        <w:t xml:space="preserve">License No. (SFDA): 4021-78934</w:t>
      </w:r>
      <w:r>
        <w:br/>
      </w:r>
      <w:r>
        <w:t xml:space="preserve">Address: 245 Prince Sultan Road, Al Malqa District, Riyadh 12345, Saudi Arabia</w:t>
      </w:r>
      <w:r>
        <w:br/>
      </w:r>
      <w:r>
        <w:t xml:space="preserve">Phone: +966 11 234 5678</w:t>
      </w:r>
      <w:r>
        <w:br/>
      </w:r>
      <w:r>
        <w:t xml:space="preserve">Email: orders@alriyadhchemist.sa</w:t>
      </w:r>
      <w:r>
        <w:br/>
      </w:r>
      <w:r>
        <w:t xml:space="preserve">CR No. 1010987654</w:t>
      </w:r>
      <w:r>
        <w:br/>
      </w:r>
      <w:r>
        <w:t xml:space="preserve">VAT No. 310987654300003</w:t>
      </w:r>
    </w:p>
    <w:bookmarkEnd w:id="21"/>
    <w:bookmarkStart w:id="22" w:name="bill-to-buyer"/>
    <w:p>
      <w:pPr>
        <w:pStyle w:val="Heading3"/>
      </w:pPr>
      <w:r>
        <w:t xml:space="preserve">Bill To (Buyer)</w:t>
      </w:r>
    </w:p>
    <w:p>
      <w:pPr>
        <w:pStyle w:val="FirstParagraph"/>
      </w:pPr>
      <w:r>
        <w:rPr>
          <w:bCs/>
          <w:b/>
        </w:rPr>
        <w:t xml:space="preserve">Al-Nakheel Pharmaceutical Distribution Co., Ltd.</w:t>
      </w:r>
      <w:r>
        <w:br/>
      </w:r>
      <w:r>
        <w:t xml:space="preserve">Warehouse: Industrial City, Riyadh 14335, Saudi Arabia</w:t>
      </w:r>
      <w:r>
        <w:br/>
      </w:r>
      <w:r>
        <w:t xml:space="preserve">Contact Person: Mr. Khalid Al-Harbi</w:t>
      </w:r>
      <w:r>
        <w:br/>
      </w:r>
      <w:r>
        <w:t xml:space="preserve">Title: Head of Procurement</w:t>
      </w:r>
      <w:r>
        <w:br/>
      </w:r>
      <w:r>
        <w:t xml:space="preserve">Phone: +966 50 123 4567</w:t>
      </w:r>
      <w:r>
        <w:br/>
      </w:r>
      <w:r>
        <w:t xml:space="preserve">Email: k.harbi@alnakheel-pharma.sa</w:t>
      </w:r>
    </w:p>
    <w:bookmarkEnd w:id="22"/>
    <w:p>
      <w:pPr>
        <w:pStyle w:val="BodyText"/>
      </w:pPr>
      <w:r>
        <w:t xml:space="preserve">Purchase Order Line Items – Chemist Supply</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Batch Ref.</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Amoxicillin 500mg Capsules – 24 caps/box (Chemist-grade, SFDA approved)</w:t>
            </w:r>
          </w:p>
        </w:tc>
        <w:tc>
          <w:tcPr/>
          <w:p>
            <w:pPr>
              <w:pStyle w:val="Compact"/>
              <w:jc w:val="left"/>
            </w:pPr>
            <w:r>
              <w:t xml:space="preserve">AMX-500-24 / B-2025-0612</w:t>
            </w:r>
          </w:p>
        </w:tc>
        <w:tc>
          <w:tcPr/>
          <w:p>
            <w:pPr>
              <w:pStyle w:val="Compact"/>
              <w:jc w:val="left"/>
            </w:pPr>
            <w:r>
              <w:t xml:space="preserve">Box</w:t>
            </w:r>
          </w:p>
        </w:tc>
        <w:tc>
          <w:tcPr/>
          <w:p>
            <w:pPr>
              <w:pStyle w:val="Compact"/>
              <w:jc w:val="left"/>
            </w:pPr>
            <w:r>
              <w:t xml:space="preserve">500</w:t>
            </w:r>
          </w:p>
        </w:tc>
        <w:tc>
          <w:tcPr/>
          <w:p>
            <w:pPr>
              <w:pStyle w:val="Compact"/>
              <w:jc w:val="left"/>
            </w:pPr>
            <w:r>
              <w:t xml:space="preserve">18.50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Ibuprofen 400mg Tablets – 30 tabs/box (Chemist formulation, Riyadh stock)</w:t>
            </w:r>
          </w:p>
        </w:tc>
        <w:tc>
          <w:tcPr/>
          <w:p>
            <w:pPr>
              <w:pStyle w:val="Compact"/>
              <w:jc w:val="left"/>
            </w:pPr>
            <w:r>
              <w:t xml:space="preserve">IBU-400-30 / B-2025-0598</w:t>
            </w:r>
          </w:p>
        </w:tc>
        <w:tc>
          <w:tcPr/>
          <w:p>
            <w:pPr>
              <w:pStyle w:val="Compact"/>
              <w:jc w:val="left"/>
            </w:pPr>
            <w:r>
              <w:t xml:space="preserve">Box</w:t>
            </w:r>
          </w:p>
        </w:tc>
        <w:tc>
          <w:tcPr/>
          <w:p>
            <w:pPr>
              <w:pStyle w:val="Compact"/>
              <w:jc w:val="left"/>
            </w:pPr>
            <w:r>
              <w:t xml:space="preserve">800</w:t>
            </w:r>
          </w:p>
        </w:tc>
        <w:tc>
          <w:tcPr/>
          <w:p>
            <w:pPr>
              <w:pStyle w:val="Compact"/>
              <w:jc w:val="left"/>
            </w:pPr>
            <w:r>
              <w:t xml:space="preserve">12.75</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Metformin HCl 850mg Tablets – 60 tabs/box (Chemist supply, Saudi Arabia Riyadh warehouse)</w:t>
            </w:r>
          </w:p>
        </w:tc>
        <w:tc>
          <w:tcPr/>
          <w:p>
            <w:pPr>
              <w:pStyle w:val="Compact"/>
              <w:jc w:val="left"/>
            </w:pPr>
            <w:r>
              <w:t xml:space="preserve">MTF-850-60 / B-2025-0601</w:t>
            </w:r>
          </w:p>
        </w:tc>
        <w:tc>
          <w:tcPr/>
          <w:p>
            <w:pPr>
              <w:pStyle w:val="Compact"/>
              <w:jc w:val="left"/>
            </w:pPr>
            <w:r>
              <w:t xml:space="preserve">Box</w:t>
            </w:r>
          </w:p>
        </w:tc>
        <w:tc>
          <w:tcPr/>
          <w:p>
            <w:pPr>
              <w:pStyle w:val="Compact"/>
              <w:jc w:val="left"/>
            </w:pPr>
            <w:r>
              <w:t xml:space="preserve">350</w:t>
            </w:r>
          </w:p>
        </w:tc>
        <w:tc>
          <w:tcPr/>
          <w:p>
            <w:pPr>
              <w:pStyle w:val="Compact"/>
              <w:jc w:val="left"/>
            </w:pPr>
            <w:r>
              <w:t xml:space="preserve">22.00</w:t>
            </w:r>
          </w:p>
        </w:tc>
        <w:tc>
          <w:tcPr/>
          <w:p>
            <w:pPr>
              <w:pStyle w:val="Compact"/>
              <w:jc w:val="left"/>
            </w:pPr>
            <w:r>
              <w:t xml:space="preserve">7,700.00</w:t>
            </w:r>
          </w:p>
        </w:tc>
      </w:tr>
      <w:tr>
        <w:tc>
          <w:tcPr/>
          <w:p>
            <w:pPr>
              <w:pStyle w:val="Compact"/>
              <w:jc w:val="left"/>
            </w:pPr>
            <w:r>
              <w:t xml:space="preserve">04</w:t>
            </w:r>
          </w:p>
        </w:tc>
        <w:tc>
          <w:tcPr/>
          <w:p>
            <w:pPr>
              <w:pStyle w:val="Compact"/>
              <w:jc w:val="left"/>
            </w:pPr>
            <w:r>
              <w:t xml:space="preserve">Omeprazole 20mg Capsules – 28 caps/box (Chemist-verified, SFDA registered)</w:t>
            </w:r>
          </w:p>
        </w:tc>
        <w:tc>
          <w:tcPr/>
          <w:p>
            <w:pPr>
              <w:pStyle w:val="Compact"/>
              <w:jc w:val="left"/>
            </w:pPr>
            <w:r>
              <w:t xml:space="preserve">OMP-20-28 / B-2025-0587</w:t>
            </w:r>
          </w:p>
        </w:tc>
        <w:tc>
          <w:tcPr/>
          <w:p>
            <w:pPr>
              <w:pStyle w:val="Compact"/>
              <w:jc w:val="left"/>
            </w:pPr>
            <w:r>
              <w:t xml:space="preserve">Box</w:t>
            </w:r>
          </w:p>
        </w:tc>
        <w:tc>
          <w:tcPr/>
          <w:p>
            <w:pPr>
              <w:pStyle w:val="Compact"/>
              <w:jc w:val="left"/>
            </w:pPr>
            <w:r>
              <w:t xml:space="preserve">400</w:t>
            </w:r>
          </w:p>
        </w:tc>
        <w:tc>
          <w:tcPr/>
          <w:p>
            <w:pPr>
              <w:pStyle w:val="Compact"/>
              <w:jc w:val="left"/>
            </w:pPr>
            <w:r>
              <w:t xml:space="preserve">28.40</w:t>
            </w:r>
          </w:p>
        </w:tc>
        <w:tc>
          <w:tcPr/>
          <w:p>
            <w:pPr>
              <w:pStyle w:val="Compact"/>
              <w:jc w:val="left"/>
            </w:pPr>
            <w:r>
              <w:t xml:space="preserve">11,360.00</w:t>
            </w:r>
          </w:p>
        </w:tc>
      </w:tr>
      <w:tr>
        <w:tc>
          <w:tcPr/>
          <w:p>
            <w:pPr>
              <w:pStyle w:val="Compact"/>
              <w:jc w:val="left"/>
            </w:pPr>
            <w:r>
              <w:t xml:space="preserve">05</w:t>
            </w:r>
          </w:p>
        </w:tc>
        <w:tc>
          <w:tcPr/>
          <w:p>
            <w:pPr>
              <w:pStyle w:val="Compact"/>
              <w:jc w:val="left"/>
            </w:pPr>
            <w:r>
              <w:t xml:space="preserve">Salbutamol Inhaler 100mcg – 200 doses (Chemist-grade respiratory supply, Riyadh)</w:t>
            </w:r>
          </w:p>
        </w:tc>
        <w:tc>
          <w:tcPr/>
          <w:p>
            <w:pPr>
              <w:pStyle w:val="Compact"/>
              <w:jc w:val="left"/>
            </w:pPr>
            <w:r>
              <w:t xml:space="preserve">SAL-100-200 / B-2025-0620</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Normal Saline 0.9% 500ml IV Bags – 10 bags/carton (Chemist-sterile, Saudi Arabia Riyadh)</w:t>
            </w:r>
          </w:p>
        </w:tc>
        <w:tc>
          <w:tcPr/>
          <w:p>
            <w:pPr>
              <w:pStyle w:val="Compact"/>
              <w:jc w:val="left"/>
            </w:pPr>
            <w:r>
              <w:t xml:space="preserve">NS-500-10 / B-2025-0615</w:t>
            </w:r>
          </w:p>
        </w:tc>
        <w:tc>
          <w:tcPr/>
          <w:p>
            <w:pPr>
              <w:pStyle w:val="Compact"/>
              <w:jc w:val="left"/>
            </w:pPr>
            <w:r>
              <w:t xml:space="preserve">Carton</w:t>
            </w:r>
          </w:p>
        </w:tc>
        <w:tc>
          <w:tcPr/>
          <w:p>
            <w:pPr>
              <w:pStyle w:val="Compact"/>
              <w:jc w:val="left"/>
            </w:pPr>
            <w:r>
              <w:t xml:space="preserve">150</w:t>
            </w:r>
          </w:p>
        </w:tc>
        <w:tc>
          <w:tcPr/>
          <w:p>
            <w:pPr>
              <w:pStyle w:val="Compact"/>
              <w:jc w:val="left"/>
            </w:pPr>
            <w:r>
              <w:t xml:space="preserve">65.00</w:t>
            </w:r>
          </w:p>
        </w:tc>
        <w:tc>
          <w:tcPr/>
          <w:p>
            <w:pPr>
              <w:pStyle w:val="Compact"/>
              <w:jc w:val="left"/>
            </w:pPr>
            <w:r>
              <w:t xml:space="preserve">9,750.00</w:t>
            </w:r>
          </w:p>
        </w:tc>
      </w:tr>
      <w:tr>
        <w:tc>
          <w:tcPr/>
          <w:p>
            <w:pPr>
              <w:pStyle w:val="Compact"/>
              <w:jc w:val="left"/>
            </w:pPr>
            <w:r>
              <w:t xml:space="preserve">07</w:t>
            </w:r>
          </w:p>
        </w:tc>
        <w:tc>
          <w:tcPr/>
          <w:p>
            <w:pPr>
              <w:pStyle w:val="Compact"/>
              <w:jc w:val="left"/>
            </w:pPr>
            <w:r>
              <w:t xml:space="preserve">Vitamin D3 50,000 IU Softgels – 10 caps/box (Chemist supplement line, Riyadh)</w:t>
            </w:r>
          </w:p>
        </w:tc>
        <w:tc>
          <w:tcPr/>
          <w:p>
            <w:pPr>
              <w:pStyle w:val="Compact"/>
              <w:jc w:val="left"/>
            </w:pPr>
            <w:r>
              <w:t xml:space="preserve">VD3-50K-10 / B-2025-0608</w:t>
            </w:r>
          </w:p>
        </w:tc>
        <w:tc>
          <w:tcPr/>
          <w:p>
            <w:pPr>
              <w:pStyle w:val="Compact"/>
              <w:jc w:val="left"/>
            </w:pPr>
            <w:r>
              <w:t xml:space="preserve">Box</w:t>
            </w:r>
          </w:p>
        </w:tc>
        <w:tc>
          <w:tcPr/>
          <w:p>
            <w:pPr>
              <w:pStyle w:val="Compact"/>
              <w:jc w:val="left"/>
            </w:pPr>
            <w:r>
              <w:t xml:space="preserve">600</w:t>
            </w:r>
          </w:p>
        </w:tc>
        <w:tc>
          <w:tcPr/>
          <w:p>
            <w:pPr>
              <w:pStyle w:val="Compact"/>
              <w:jc w:val="left"/>
            </w:pPr>
            <w:r>
              <w:t xml:space="preserve">9.80</w:t>
            </w:r>
          </w:p>
        </w:tc>
        <w:tc>
          <w:tcPr/>
          <w:p>
            <w:pPr>
              <w:pStyle w:val="Compact"/>
              <w:jc w:val="left"/>
            </w:pPr>
            <w:r>
              <w:t xml:space="preserve">5,880.00</w:t>
            </w:r>
          </w:p>
        </w:tc>
      </w:tr>
      <w:tr>
        <w:tc>
          <w:tcPr/>
          <w:p>
            <w:pPr>
              <w:pStyle w:val="Compact"/>
              <w:jc w:val="left"/>
            </w:pPr>
            <w:r>
              <w:t xml:space="preserve">08</w:t>
            </w:r>
          </w:p>
        </w:tc>
        <w:tc>
          <w:tcPr/>
          <w:p>
            <w:pPr>
              <w:pStyle w:val="Compact"/>
              <w:jc w:val="left"/>
            </w:pPr>
            <w:r>
              <w:t xml:space="preserve">Paracetamol 500mg Syrup 120ml (Chemist pediatric formulation, Saudi Arabia Riyadh)</w:t>
            </w:r>
          </w:p>
        </w:tc>
        <w:tc>
          <w:tcPr/>
          <w:p>
            <w:pPr>
              <w:pStyle w:val="Compact"/>
              <w:jc w:val="left"/>
            </w:pPr>
            <w:r>
              <w:t xml:space="preserve">PCM-500-120 / B-2025-0622</w:t>
            </w:r>
          </w:p>
        </w:tc>
        <w:tc>
          <w:tcPr/>
          <w:p>
            <w:pPr>
              <w:pStyle w:val="Compact"/>
              <w:jc w:val="left"/>
            </w:pPr>
            <w:r>
              <w:t xml:space="preserve">Bottle</w:t>
            </w:r>
          </w:p>
        </w:tc>
        <w:tc>
          <w:tcPr/>
          <w:p>
            <w:pPr>
              <w:pStyle w:val="Compact"/>
              <w:jc w:val="left"/>
            </w:pPr>
            <w:r>
              <w:t xml:space="preserve">300</w:t>
            </w:r>
          </w:p>
        </w:tc>
        <w:tc>
          <w:tcPr/>
          <w:p>
            <w:pPr>
              <w:pStyle w:val="Compact"/>
              <w:jc w:val="left"/>
            </w:pPr>
            <w:r>
              <w:t xml:space="preserve">14.25</w:t>
            </w:r>
          </w:p>
        </w:tc>
        <w:tc>
          <w:tcPr/>
          <w:p>
            <w:pPr>
              <w:pStyle w:val="Compact"/>
              <w:jc w:val="left"/>
            </w:pPr>
            <w:r>
              <w:t xml:space="preserve">4,275.00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67,415.00 SAR</w:t>
            </w:r>
          </w:p>
        </w:tc>
      </w:tr>
      <w:tr>
        <w:tc>
          <w:tcPr/>
          <w:p>
            <w:pPr>
              <w:pStyle w:val="Compact"/>
              <w:jc w:val="left"/>
            </w:pPr>
            <w:r>
              <w:t xml:space="preserve">VAT (15%)</w:t>
            </w:r>
          </w:p>
        </w:tc>
        <w:tc>
          <w:tcPr/>
          <w:p>
            <w:pPr>
              <w:pStyle w:val="Compact"/>
              <w:jc w:val="right"/>
            </w:pPr>
            <w:r>
              <w:t xml:space="preserve">10,112.25 SAR</w:t>
            </w:r>
          </w:p>
        </w:tc>
      </w:tr>
      <w:tr>
        <w:tc>
          <w:tcPr/>
          <w:p>
            <w:pPr>
              <w:pStyle w:val="Compact"/>
              <w:jc w:val="left"/>
            </w:pPr>
            <w:r>
              <w:t xml:space="preserve">Delivery &amp; Handling (Riyadh, Saudi Arabia)</w:t>
            </w:r>
          </w:p>
        </w:tc>
        <w:tc>
          <w:tcPr/>
          <w:p>
            <w:pPr>
              <w:pStyle w:val="Compact"/>
              <w:jc w:val="right"/>
            </w:pPr>
            <w:r>
              <w:t xml:space="preserve">1,200.00 SAR</w:t>
            </w:r>
          </w:p>
        </w:tc>
      </w:tr>
      <w:tr>
        <w:tc>
          <w:tcPr/>
          <w:p>
            <w:pPr>
              <w:pStyle w:val="Compact"/>
              <w:jc w:val="left"/>
            </w:pPr>
            <w:r>
              <w:t xml:space="preserve">Grand Total</w:t>
            </w:r>
          </w:p>
        </w:tc>
        <w:tc>
          <w:tcPr/>
          <w:p>
            <w:pPr>
              <w:pStyle w:val="Compact"/>
              <w:jc w:val="right"/>
            </w:pPr>
            <w:r>
              <w:t xml:space="preserve">78,727.25 SAR</w:t>
            </w:r>
          </w:p>
        </w:tc>
      </w:tr>
    </w:tbl>
    <w:p>
      <w:pPr>
        <w:pStyle w:val="BodyText"/>
      </w:pPr>
      <w:r>
        <w:t xml:space="preserve">Terms and Conditions</w:t>
      </w:r>
    </w:p>
    <w:p>
      <w:pPr>
        <w:numPr>
          <w:ilvl w:val="0"/>
          <w:numId w:val="1001"/>
        </w:numPr>
        <w:pStyle w:val="Compact"/>
      </w:pPr>
      <w:r>
        <w:t xml:space="preserve">This Purchase Order is issued by Al-Nakheel Pharmaceutical Distribution Co., Ltd. to Al-Riyadh Central Chemist &amp; Pharmacy for the supply of pharmaceutical products and medical supplies as detailed above. All items must comply with the Saudi Food and Drug Authority (SFDA) regulations applicable in Saudi Arabia Riyadh.</w:t>
      </w:r>
    </w:p>
    <w:p>
      <w:pPr>
        <w:numPr>
          <w:ilvl w:val="0"/>
          <w:numId w:val="1001"/>
        </w:numPr>
        <w:pStyle w:val="Compact"/>
      </w:pPr>
      <w:r>
        <w:t xml:space="preserve">The Chemist (supplier) shall ensure that all products delivered under this Purchase Order carry valid SFDA registration numbers, are within their shelf life (minimum 18 months remaining at delivery), and are stored and transported in accordance with Good Distribution Practice (GDP) standards mandated for the Riyadh region.</w:t>
      </w:r>
    </w:p>
    <w:p>
      <w:pPr>
        <w:numPr>
          <w:ilvl w:val="0"/>
          <w:numId w:val="1001"/>
        </w:numPr>
        <w:pStyle w:val="Compact"/>
      </w:pPr>
      <w:r>
        <w:t xml:space="preserve">Delivery shall be made to the buyer's warehouse located in the Industrial City, Riyadh, Saudi Arabia, no later than 10 business days from the date of this Purchase Order. The Chemist is responsible for all logistics, cold-chain maintenance where applicable, and customs clearance within Saudi Arabia Riyadh.</w:t>
      </w:r>
    </w:p>
    <w:p>
      <w:pPr>
        <w:numPr>
          <w:ilvl w:val="0"/>
          <w:numId w:val="1001"/>
        </w:numPr>
        <w:pStyle w:val="Compact"/>
      </w:pPr>
      <w:r>
        <w:t xml:space="preserve">Payment shall be processed via bank transfer to the Chemist's designated account within thirty (30) calendar days from the date of receipt of a valid tax invoice (Fatoora) compliant with ZATCA e-invoicing requirements. The invoice must reference this Purchase Order number (PO-2025-RYD-04872).</w:t>
      </w:r>
    </w:p>
    <w:p>
      <w:pPr>
        <w:numPr>
          <w:ilvl w:val="0"/>
          <w:numId w:val="1001"/>
        </w:numPr>
        <w:pStyle w:val="Compact"/>
      </w:pPr>
      <w:r>
        <w:t xml:space="preserve">The Chemist warrants that all products supplied are genuine, unadulterated, and sourced from licensed manufacturers. Any counterfeit or substandard product discovered upon inspection at the Riyadh warehouse shall be rejected at no cost to the buyer, and the Chemist shall replace such items within five (5) business days.</w:t>
      </w:r>
    </w:p>
    <w:p>
      <w:pPr>
        <w:numPr>
          <w:ilvl w:val="0"/>
          <w:numId w:val="1001"/>
        </w:numPr>
        <w:pStyle w:val="Compact"/>
      </w:pPr>
      <w:r>
        <w:t xml:space="preserve">This Purchase Order is governed by the laws of the Kingdom of Saudi Arabia. Any disputes arising from this Purchase Order shall be resolved through the competent courts in Riyadh, Saudi Arabia, or through arbitration under the Saudi Center for Commercial Arbitration (SCCA) if both parties agree in writing.</w:t>
      </w:r>
    </w:p>
    <w:p>
      <w:pPr>
        <w:numPr>
          <w:ilvl w:val="0"/>
          <w:numId w:val="1001"/>
        </w:numPr>
        <w:pStyle w:val="Compact"/>
      </w:pPr>
      <w:r>
        <w:t xml:space="preserve">The Chemist shall maintain full insurance coverage for all goods in transit within Saudi Arabia Riyadh until delivery is confirmed and signed for by the buyer's authorized representative.</w:t>
      </w:r>
    </w:p>
    <w:p>
      <w:pPr>
        <w:numPr>
          <w:ilvl w:val="0"/>
          <w:numId w:val="1001"/>
        </w:numPr>
        <w:pStyle w:val="Compact"/>
      </w:pPr>
      <w:r>
        <w:t xml:space="preserve">Any amendments to this Purchase Order must be made in writing and signed by both parties. Verbal modifications are not binding. The Chemist must confirm acceptance of any revised quantities or specifications within three (3) business days.</w:t>
      </w:r>
    </w:p>
    <w:p>
      <w:pPr>
        <w:numPr>
          <w:ilvl w:val="0"/>
          <w:numId w:val="1001"/>
        </w:numPr>
        <w:pStyle w:val="Compact"/>
      </w:pPr>
      <w:r>
        <w:t xml:space="preserve">The Chemist agrees to provide a Certificate of Analysis (CoA) and a Certificate of Free Sale for each batch delivered under this Purchase Order, to be submitted to the buyer's quality assurance team in Riyadh prior to final acceptance.</w:t>
      </w:r>
    </w:p>
    <w:p>
      <w:pPr>
        <w:pStyle w:val="FirstParagraph"/>
      </w:pPr>
      <w:r>
        <w:t xml:space="preserve">Delivery and Acceptance</w:t>
      </w:r>
    </w:p>
    <w:p>
      <w:pPr>
        <w:pStyle w:val="BodyText"/>
      </w:pPr>
      <w:r>
        <w:t xml:space="preserve">Upon arrival at the designated warehouse in Riyadh, Saudi Arabia, the buyer's quality control team shall inspect the shipment within two (2) business days. Acceptance is contingent upon verification of product integrity, correct quantities, valid batch documentation, and compliance with all SFDA standards. The Chemist shall be notified of any discrepancies within the inspection window. Partial acceptance is permitted; rejected items shall be returned to the Chemist at the Chemist's expense.</w:t>
      </w:r>
    </w:p>
    <w:p>
      <w:pPr>
        <w:pStyle w:val="BodyText"/>
      </w:pPr>
      <w:r>
        <w:rPr>
          <w:bCs/>
          <w:b/>
        </w:rPr>
        <w:t xml:space="preserve">Authorized by (Buyer):</w:t>
      </w:r>
    </w:p>
    <w:p>
      <w:pPr>
        <w:pStyle w:val="BodyText"/>
      </w:pPr>
      <w:r>
        <w:t xml:space="preserve">Mr. Khalid Al-Harbi</w:t>
      </w:r>
      <w:r>
        <w:br/>
      </w:r>
      <w:r>
        <w:t xml:space="preserve">Head of Procurement</w:t>
      </w:r>
      <w:r>
        <w:br/>
      </w:r>
      <w:r>
        <w:t xml:space="preserve">Al-Nakheel Pharmaceutical Distribution Co., Ltd.</w:t>
      </w:r>
      <w:r>
        <w:br/>
      </w:r>
      <w:r>
        <w:t xml:space="preserve">Date: _______________</w:t>
      </w:r>
    </w:p>
    <w:p>
      <w:pPr>
        <w:pStyle w:val="BodyText"/>
      </w:pPr>
      <w:r>
        <w:rPr>
          <w:bCs/>
          <w:b/>
        </w:rPr>
        <w:t xml:space="preserve">Accepted by (Chemist / Supplier):</w:t>
      </w:r>
    </w:p>
    <w:p>
      <w:pPr>
        <w:pStyle w:val="BodyText"/>
      </w:pPr>
      <w:r>
        <w:t xml:space="preserve">Dr. Sarah Al-Otaibi</w:t>
      </w:r>
      <w:r>
        <w:br/>
      </w:r>
      <w:r>
        <w:t xml:space="preserve">Managing Pharmacist &amp; Director</w:t>
      </w:r>
      <w:r>
        <w:br/>
      </w:r>
      <w:r>
        <w:t xml:space="preserve">Al-Riyadh Central Chemist &amp; Pharmacy</w:t>
      </w:r>
      <w:r>
        <w:br/>
      </w:r>
      <w:r>
        <w:t xml:space="preserve">Date: _______________</w:t>
      </w:r>
    </w:p>
    <w:p>
      <w:pPr>
        <w:pStyle w:val="BodyText"/>
      </w:pPr>
      <w:r>
        <w:t xml:space="preserve">This Purchase Order (PO-2025-RYD-04872) is a legally binding document between Al-Nakheel Pharmaceutical Distribution Co., Ltd. and Al-Riyadh Central Chemist &amp; Pharmacy, both registered in Saudi Arabia Riyadh. This document is subject to SFDA, ZATCA, and all applicable Kingdom of Saudi Arabia commercial regulations. Unauthorized reproduction or distribution of this Purchase Order is strictly prohibited.</w:t>
      </w:r>
    </w:p>
    <w:p>
      <w:pPr>
        <w:pStyle w:val="BodyText"/>
      </w:pPr>
      <w:r>
        <w:t xml:space="preserve">Page 1 of 1 | Generated: 14 June 2025 | Document ID: ANP-PO-2025-04872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Saudi Arabia Riyadh</dc:title>
  <dc:creator/>
  <dc:language>en</dc:language>
  <cp:keywords/>
  <dcterms:created xsi:type="dcterms:W3CDTF">2026-10-10T08:30:34Z</dcterms:created>
  <dcterms:modified xsi:type="dcterms:W3CDTF">2026-10-10T08:30:34Z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