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Barcelona,</w:t>
      </w:r>
      <w:r>
        <w:t xml:space="preserve"> </w:t>
      </w:r>
      <w:r>
        <w:t xml:space="preserve">Spain</w:t>
      </w:r>
    </w:p>
    <w:bookmarkStart w:id="20" w:name="purchase-order"/>
    <w:p>
      <w:pPr>
        <w:pStyle w:val="Heading1"/>
      </w:pPr>
      <w:r>
        <w:t xml:space="preserve">PURCHASE ORDER</w:t>
      </w:r>
    </w:p>
    <w:p>
      <w:pPr>
        <w:pStyle w:val="FirstParagraph"/>
      </w:pPr>
      <w:r>
        <w:t xml:space="preserve">Official Procurement Document – Chemist / Pharmacy Supply – Spain Barcelona</w:t>
      </w:r>
    </w:p>
    <w:bookmarkEnd w:id="20"/>
    <w:p>
      <w:pPr>
        <w:pStyle w:val="BodyText"/>
      </w:pPr>
      <w:r>
        <w:rPr>
          <w:bCs/>
          <w:b/>
        </w:rPr>
        <w:t xml:space="preserve">Purchase Order No.:</w:t>
      </w:r>
      <w:r>
        <w:t xml:space="preserve"> </w:t>
      </w:r>
      <w:r>
        <w:t xml:space="preserve">PO-BCN-2025-04872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Barcelona</w:t>
      </w:r>
    </w:p>
    <w:p>
      <w:pPr>
        <w:pStyle w:val="BodyText"/>
      </w:pPr>
      <w:r>
        <w:t xml:space="preserve">PARTIES INVOLVED</w:t>
      </w:r>
    </w:p>
    <w:bookmarkStart w:id="21" w:name="buyer-chemist-pharmacy"/>
    <w:p>
      <w:pPr>
        <w:pStyle w:val="Heading3"/>
      </w:pPr>
      <w:r>
        <w:t xml:space="preserve">Buyer (Chemist / Pharmacy)</w:t>
      </w:r>
    </w:p>
    <w:p>
      <w:pPr>
        <w:pStyle w:val="FirstParagraph"/>
      </w:pPr>
      <w:r>
        <w:rPr>
          <w:bCs/>
          <w:b/>
        </w:rPr>
        <w:t xml:space="preserve">Pharmacia Barcelona Central S.L.</w:t>
      </w:r>
    </w:p>
    <w:p>
      <w:pPr>
        <w:pStyle w:val="BodyText"/>
      </w:pPr>
      <w:r>
        <w:t xml:space="preserve">Av. Diagonal, 456, 2º 1º</w:t>
      </w:r>
    </w:p>
    <w:p>
      <w:pPr>
        <w:pStyle w:val="BodyText"/>
      </w:pPr>
      <w:r>
        <w:t xml:space="preserve">08006 Barcelona, Spain</w:t>
      </w:r>
    </w:p>
    <w:p>
      <w:pPr>
        <w:pStyle w:val="BodyText"/>
      </w:pPr>
      <w:r>
        <w:t xml:space="preserve">NIF: B-65432109</w:t>
      </w:r>
    </w:p>
    <w:p>
      <w:pPr>
        <w:pStyle w:val="BodyText"/>
      </w:pPr>
      <w:r>
        <w:t xml:space="preserve">Contact: Dra. María Fernández López</w:t>
      </w:r>
    </w:p>
    <w:p>
      <w:pPr>
        <w:pStyle w:val="BodyText"/>
      </w:pPr>
      <w:r>
        <w:t xml:space="preserve">Phone: +34 93 555 1234</w:t>
      </w:r>
    </w:p>
    <w:p>
      <w:pPr>
        <w:pStyle w:val="BodyText"/>
      </w:pPr>
      <w:r>
        <w:t xml:space="preserve">Email: compras@farmaciabarcelonacentral.es</w:t>
      </w:r>
    </w:p>
    <w:bookmarkEnd w:id="21"/>
    <w:bookmarkStart w:id="22" w:name="supplier"/>
    <w:p>
      <w:pPr>
        <w:pStyle w:val="Heading3"/>
      </w:pPr>
      <w:r>
        <w:t xml:space="preserve">Supplier</w:t>
      </w:r>
    </w:p>
    <w:p>
      <w:pPr>
        <w:pStyle w:val="FirstParagraph"/>
      </w:pPr>
      <w:r>
        <w:rPr>
          <w:bCs/>
          <w:b/>
        </w:rPr>
        <w:t xml:space="preserve">PharmaDistribuciones Ibérica S.A.</w:t>
      </w:r>
    </w:p>
    <w:p>
      <w:pPr>
        <w:pStyle w:val="BodyText"/>
      </w:pPr>
      <w:r>
        <w:t xml:space="preserve">Carrer de la Indústria, 89, Polígon Nord</w:t>
      </w:r>
    </w:p>
    <w:p>
      <w:pPr>
        <w:pStyle w:val="BodyText"/>
      </w:pPr>
      <w:r>
        <w:t xml:space="preserve">08907 L'Hospitalet de Llobregat, Barcelona, Spain</w:t>
      </w:r>
    </w:p>
    <w:p>
      <w:pPr>
        <w:pStyle w:val="BodyText"/>
      </w:pPr>
      <w:r>
        <w:t xml:space="preserve">NIF: A-78945612</w:t>
      </w:r>
    </w:p>
    <w:p>
      <w:pPr>
        <w:pStyle w:val="BodyText"/>
      </w:pPr>
      <w:r>
        <w:t xml:space="preserve">Contact: Sr. Jordi Puig Vidal</w:t>
      </w:r>
    </w:p>
    <w:p>
      <w:pPr>
        <w:pStyle w:val="BodyText"/>
      </w:pPr>
      <w:r>
        <w:t xml:space="preserve">Phone: +34 93 444 5678</w:t>
      </w:r>
    </w:p>
    <w:p>
      <w:pPr>
        <w:pStyle w:val="BodyText"/>
      </w:pPr>
      <w:r>
        <w:t xml:space="preserve">Email: ventas@pharmadistribuciones.es</w:t>
      </w:r>
    </w:p>
    <w:bookmarkEnd w:id="22"/>
    <w:p>
      <w:pPr>
        <w:pStyle w:val="BodyText"/>
      </w:pPr>
      <w:r>
        <w:t xml:space="preserve">ITEMS ORDERED – CHEMIST SUPPLIES &amp; PHARMACEUTICAL PRODUCTS</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SKU /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Amoxicillin 500 mg capsules, 28-count blister packs (prescription-only, registered with AEMPS)</w:t>
            </w:r>
          </w:p>
        </w:tc>
        <w:tc>
          <w:tcPr/>
          <w:p>
            <w:pPr>
              <w:pStyle w:val="Compact"/>
              <w:jc w:val="left"/>
            </w:pPr>
            <w:r>
              <w:t xml:space="preserve">AMX-500-28</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12.40</w:t>
            </w:r>
          </w:p>
        </w:tc>
        <w:tc>
          <w:tcPr/>
          <w:p>
            <w:pPr>
              <w:pStyle w:val="Compact"/>
              <w:jc w:val="left"/>
            </w:pPr>
            <w:r>
              <w:t xml:space="preserve">2,480.00</w:t>
            </w:r>
          </w:p>
        </w:tc>
        <w:tc>
          <w:tcPr/>
          <w:p>
            <w:pPr>
              <w:pStyle w:val="Compact"/>
              <w:jc w:val="left"/>
            </w:pPr>
            <w:r>
              <w:t xml:space="preserve">5 days</w:t>
            </w:r>
          </w:p>
        </w:tc>
      </w:tr>
      <w:tr>
        <w:tc>
          <w:tcPr/>
          <w:p>
            <w:pPr>
              <w:pStyle w:val="Compact"/>
              <w:jc w:val="left"/>
            </w:pPr>
            <w:r>
              <w:t xml:space="preserve">02</w:t>
            </w:r>
          </w:p>
        </w:tc>
        <w:tc>
          <w:tcPr/>
          <w:p>
            <w:pPr>
              <w:pStyle w:val="Compact"/>
              <w:jc w:val="left"/>
            </w:pPr>
            <w:r>
              <w:t xml:space="preserve">Ibuprofen 400 mg tablets, 20-count blister (OTC, Spain Barcelona chemist stock)</w:t>
            </w:r>
          </w:p>
        </w:tc>
        <w:tc>
          <w:tcPr/>
          <w:p>
            <w:pPr>
              <w:pStyle w:val="Compact"/>
              <w:jc w:val="left"/>
            </w:pPr>
            <w:r>
              <w:t xml:space="preserve">IBU-400-20</w:t>
            </w:r>
          </w:p>
        </w:tc>
        <w:tc>
          <w:tcPr/>
          <w:p>
            <w:pPr>
              <w:pStyle w:val="Compact"/>
              <w:jc w:val="left"/>
            </w:pPr>
            <w:r>
              <w:t xml:space="preserve">500</w:t>
            </w:r>
          </w:p>
        </w:tc>
        <w:tc>
          <w:tcPr/>
          <w:p>
            <w:pPr>
              <w:pStyle w:val="Compact"/>
              <w:jc w:val="left"/>
            </w:pPr>
            <w:r>
              <w:t xml:space="preserve">Boxes</w:t>
            </w:r>
          </w:p>
        </w:tc>
        <w:tc>
          <w:tcPr/>
          <w:p>
            <w:pPr>
              <w:pStyle w:val="Compact"/>
              <w:jc w:val="left"/>
            </w:pPr>
            <w:r>
              <w:t xml:space="preserve">3.85</w:t>
            </w:r>
          </w:p>
        </w:tc>
        <w:tc>
          <w:tcPr/>
          <w:p>
            <w:pPr>
              <w:pStyle w:val="Compact"/>
              <w:jc w:val="left"/>
            </w:pPr>
            <w:r>
              <w:t xml:space="preserve">1,925.00</w:t>
            </w:r>
          </w:p>
        </w:tc>
        <w:tc>
          <w:tcPr/>
          <w:p>
            <w:pPr>
              <w:pStyle w:val="Compact"/>
              <w:jc w:val="left"/>
            </w:pPr>
            <w:r>
              <w:t xml:space="preserve">5 days</w:t>
            </w:r>
          </w:p>
        </w:tc>
      </w:tr>
      <w:tr>
        <w:tc>
          <w:tcPr/>
          <w:p>
            <w:pPr>
              <w:pStyle w:val="Compact"/>
              <w:jc w:val="left"/>
            </w:pPr>
            <w:r>
              <w:t xml:space="preserve">03</w:t>
            </w:r>
          </w:p>
        </w:tc>
        <w:tc>
          <w:tcPr/>
          <w:p>
            <w:pPr>
              <w:pStyle w:val="Compact"/>
              <w:jc w:val="left"/>
            </w:pPr>
            <w:r>
              <w:t xml:space="preserve">Paracetamol 1 g effervescent tablets, 10-count sachets (OTC)</w:t>
            </w:r>
          </w:p>
        </w:tc>
        <w:tc>
          <w:tcPr/>
          <w:p>
            <w:pPr>
              <w:pStyle w:val="Compact"/>
              <w:jc w:val="left"/>
            </w:pPr>
            <w:r>
              <w:t xml:space="preserve">PAR-1000-10</w:t>
            </w:r>
          </w:p>
        </w:tc>
        <w:tc>
          <w:tcPr/>
          <w:p>
            <w:pPr>
              <w:pStyle w:val="Compact"/>
              <w:jc w:val="left"/>
            </w:pPr>
            <w:r>
              <w:t xml:space="preserve">300</w:t>
            </w:r>
          </w:p>
        </w:tc>
        <w:tc>
          <w:tcPr/>
          <w:p>
            <w:pPr>
              <w:pStyle w:val="Compact"/>
              <w:jc w:val="left"/>
            </w:pPr>
            <w:r>
              <w:t xml:space="preserve">Boxes</w:t>
            </w:r>
          </w:p>
        </w:tc>
        <w:tc>
          <w:tcPr/>
          <w:p>
            <w:pPr>
              <w:pStyle w:val="Compact"/>
              <w:jc w:val="left"/>
            </w:pPr>
            <w:r>
              <w:t xml:space="preserve">4.20</w:t>
            </w:r>
          </w:p>
        </w:tc>
        <w:tc>
          <w:tcPr/>
          <w:p>
            <w:pPr>
              <w:pStyle w:val="Compact"/>
              <w:jc w:val="left"/>
            </w:pPr>
            <w:r>
              <w:t xml:space="preserve">1,260.00</w:t>
            </w:r>
          </w:p>
        </w:tc>
        <w:tc>
          <w:tcPr/>
          <w:p>
            <w:pPr>
              <w:pStyle w:val="Compact"/>
              <w:jc w:val="left"/>
            </w:pPr>
            <w:r>
              <w:t xml:space="preserve">5 days</w:t>
            </w:r>
          </w:p>
        </w:tc>
      </w:tr>
      <w:tr>
        <w:tc>
          <w:tcPr/>
          <w:p>
            <w:pPr>
              <w:pStyle w:val="Compact"/>
              <w:jc w:val="left"/>
            </w:pPr>
            <w:r>
              <w:t xml:space="preserve">04</w:t>
            </w:r>
          </w:p>
        </w:tc>
        <w:tc>
          <w:tcPr/>
          <w:p>
            <w:pPr>
              <w:pStyle w:val="Compact"/>
              <w:jc w:val="left"/>
            </w:pPr>
            <w:r>
              <w:t xml:space="preserve">Insulin Glargine 100 IU/mL pre-filled pen, 5-pen pack (refrigerated, 2–8 °C)</w:t>
            </w:r>
          </w:p>
        </w:tc>
        <w:tc>
          <w:tcPr/>
          <w:p>
            <w:pPr>
              <w:pStyle w:val="Compact"/>
              <w:jc w:val="left"/>
            </w:pPr>
            <w:r>
              <w:t xml:space="preserve">INS-GLA-100</w:t>
            </w:r>
          </w:p>
        </w:tc>
        <w:tc>
          <w:tcPr/>
          <w:p>
            <w:pPr>
              <w:pStyle w:val="Compact"/>
              <w:jc w:val="left"/>
            </w:pPr>
            <w:r>
              <w:t xml:space="preserve">80</w:t>
            </w:r>
          </w:p>
        </w:tc>
        <w:tc>
          <w:tcPr/>
          <w:p>
            <w:pPr>
              <w:pStyle w:val="Compact"/>
              <w:jc w:val="left"/>
            </w:pPr>
            <w:r>
              <w:t xml:space="preserve">Packs</w:t>
            </w:r>
          </w:p>
        </w:tc>
        <w:tc>
          <w:tcPr/>
          <w:p>
            <w:pPr>
              <w:pStyle w:val="Compact"/>
              <w:jc w:val="left"/>
            </w:pPr>
            <w:r>
              <w:t xml:space="preserve">48.90</w:t>
            </w:r>
          </w:p>
        </w:tc>
        <w:tc>
          <w:tcPr/>
          <w:p>
            <w:pPr>
              <w:pStyle w:val="Compact"/>
              <w:jc w:val="left"/>
            </w:pPr>
            <w:r>
              <w:t xml:space="preserve">3,912.00</w:t>
            </w:r>
          </w:p>
        </w:tc>
        <w:tc>
          <w:tcPr/>
          <w:p>
            <w:pPr>
              <w:pStyle w:val="Compact"/>
              <w:jc w:val="left"/>
            </w:pPr>
            <w:r>
              <w:t xml:space="preserve">3 days</w:t>
            </w:r>
          </w:p>
        </w:tc>
      </w:tr>
      <w:tr>
        <w:tc>
          <w:tcPr/>
          <w:p>
            <w:pPr>
              <w:pStyle w:val="Compact"/>
              <w:jc w:val="left"/>
            </w:pPr>
            <w:r>
              <w:t xml:space="preserve">05</w:t>
            </w:r>
          </w:p>
        </w:tc>
        <w:tc>
          <w:tcPr/>
          <w:p>
            <w:pPr>
              <w:pStyle w:val="Compact"/>
              <w:jc w:val="left"/>
            </w:pPr>
            <w:r>
              <w:t xml:space="preserve">Saline solution 0.9% NaCl, 500 mL IV bags, 10-bag carton</w:t>
            </w:r>
          </w:p>
        </w:tc>
        <w:tc>
          <w:tcPr/>
          <w:p>
            <w:pPr>
              <w:pStyle w:val="Compact"/>
              <w:jc w:val="left"/>
            </w:pPr>
            <w:r>
              <w:t xml:space="preserve">SAL-09-500</w:t>
            </w:r>
          </w:p>
        </w:tc>
        <w:tc>
          <w:tcPr/>
          <w:p>
            <w:pPr>
              <w:pStyle w:val="Compact"/>
              <w:jc w:val="left"/>
            </w:pPr>
            <w:r>
              <w:t xml:space="preserve">150</w:t>
            </w:r>
          </w:p>
        </w:tc>
        <w:tc>
          <w:tcPr/>
          <w:p>
            <w:pPr>
              <w:pStyle w:val="Compact"/>
              <w:jc w:val="left"/>
            </w:pPr>
            <w:r>
              <w:t xml:space="preserve">Cartons</w:t>
            </w:r>
          </w:p>
        </w:tc>
        <w:tc>
          <w:tcPr/>
          <w:p>
            <w:pPr>
              <w:pStyle w:val="Compact"/>
              <w:jc w:val="left"/>
            </w:pPr>
            <w:r>
              <w:t xml:space="preserve">18.60</w:t>
            </w:r>
          </w:p>
        </w:tc>
        <w:tc>
          <w:tcPr/>
          <w:p>
            <w:pPr>
              <w:pStyle w:val="Compact"/>
              <w:jc w:val="left"/>
            </w:pPr>
            <w:r>
              <w:t xml:space="preserve">2,790.00</w:t>
            </w:r>
          </w:p>
        </w:tc>
        <w:tc>
          <w:tcPr/>
          <w:p>
            <w:pPr>
              <w:pStyle w:val="Compact"/>
              <w:jc w:val="left"/>
            </w:pPr>
            <w:r>
              <w:t xml:space="preserve">7 days</w:t>
            </w:r>
          </w:p>
        </w:tc>
      </w:tr>
      <w:tr>
        <w:tc>
          <w:tcPr/>
          <w:p>
            <w:pPr>
              <w:pStyle w:val="Compact"/>
              <w:jc w:val="left"/>
            </w:pPr>
            <w:r>
              <w:t xml:space="preserve">06</w:t>
            </w:r>
          </w:p>
        </w:tc>
        <w:tc>
          <w:tcPr/>
          <w:p>
            <w:pPr>
              <w:pStyle w:val="Compact"/>
              <w:jc w:val="left"/>
            </w:pPr>
            <w:r>
              <w:t xml:space="preserve">Nitrile examination gloves, size M, 100-glove box (chemistry lab &amp; dispensing use)</w:t>
            </w:r>
          </w:p>
        </w:tc>
        <w:tc>
          <w:tcPr/>
          <w:p>
            <w:pPr>
              <w:pStyle w:val="Compact"/>
              <w:jc w:val="left"/>
            </w:pPr>
            <w:r>
              <w:t xml:space="preserve">GLV-NIT-M100</w:t>
            </w:r>
          </w:p>
        </w:tc>
        <w:tc>
          <w:tcPr/>
          <w:p>
            <w:pPr>
              <w:pStyle w:val="Compact"/>
              <w:jc w:val="left"/>
            </w:pPr>
            <w:r>
              <w:t xml:space="preserve">400</w:t>
            </w:r>
          </w:p>
        </w:tc>
        <w:tc>
          <w:tcPr/>
          <w:p>
            <w:pPr>
              <w:pStyle w:val="Compact"/>
              <w:jc w:val="left"/>
            </w:pPr>
            <w:r>
              <w:t xml:space="preserve">Boxes</w:t>
            </w:r>
          </w:p>
        </w:tc>
        <w:tc>
          <w:tcPr/>
          <w:p>
            <w:pPr>
              <w:pStyle w:val="Compact"/>
              <w:jc w:val="left"/>
            </w:pPr>
            <w:r>
              <w:t xml:space="preserve">6.50</w:t>
            </w:r>
          </w:p>
        </w:tc>
        <w:tc>
          <w:tcPr/>
          <w:p>
            <w:pPr>
              <w:pStyle w:val="Compact"/>
              <w:jc w:val="left"/>
            </w:pPr>
            <w:r>
              <w:t xml:space="preserve">2,600.00</w:t>
            </w:r>
          </w:p>
        </w:tc>
        <w:tc>
          <w:tcPr/>
          <w:p>
            <w:pPr>
              <w:pStyle w:val="Compact"/>
              <w:jc w:val="left"/>
            </w:pPr>
            <w:r>
              <w:t xml:space="preserve">7 days</w:t>
            </w:r>
          </w:p>
        </w:tc>
      </w:tr>
      <w:tr>
        <w:tc>
          <w:tcPr/>
          <w:p>
            <w:pPr>
              <w:pStyle w:val="Compact"/>
              <w:jc w:val="left"/>
            </w:pPr>
            <w:r>
              <w:t xml:space="preserve">07</w:t>
            </w:r>
          </w:p>
        </w:tc>
        <w:tc>
          <w:tcPr/>
          <w:p>
            <w:pPr>
              <w:pStyle w:val="Compact"/>
              <w:jc w:val="left"/>
            </w:pPr>
            <w:r>
              <w:t xml:space="preserve">Pharmaceutical compounding balance, 0.001 g precision, CE-marked (for chemist preparation room)</w:t>
            </w:r>
          </w:p>
        </w:tc>
        <w:tc>
          <w:tcPr/>
          <w:p>
            <w:pPr>
              <w:pStyle w:val="Compact"/>
              <w:jc w:val="left"/>
            </w:pPr>
            <w:r>
              <w:t xml:space="preserve">EQP-BAL-001</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1,250.00</w:t>
            </w:r>
          </w:p>
        </w:tc>
        <w:tc>
          <w:tcPr/>
          <w:p>
            <w:pPr>
              <w:pStyle w:val="Compact"/>
              <w:jc w:val="left"/>
            </w:pPr>
            <w:r>
              <w:t xml:space="preserve">2,500.00</w:t>
            </w:r>
          </w:p>
        </w:tc>
        <w:tc>
          <w:tcPr/>
          <w:p>
            <w:pPr>
              <w:pStyle w:val="Compact"/>
              <w:jc w:val="left"/>
            </w:pPr>
            <w:r>
              <w:t xml:space="preserve">14 days</w:t>
            </w:r>
          </w:p>
        </w:tc>
      </w:tr>
      <w:tr>
        <w:tc>
          <w:tcPr/>
          <w:p>
            <w:pPr>
              <w:pStyle w:val="Compact"/>
              <w:jc w:val="left"/>
            </w:pPr>
            <w:r>
              <w:t xml:space="preserve">08</w:t>
            </w:r>
          </w:p>
        </w:tc>
        <w:tc>
          <w:tcPr/>
          <w:p>
            <w:pPr>
              <w:pStyle w:val="Compact"/>
              <w:jc w:val="left"/>
            </w:pPr>
            <w:r>
              <w:t xml:space="preserve">Pharmacy refrigeration unit, 200 L, digital thermostat, AEMPS-compliant (Spain Barcelona chemist requirement)</w:t>
            </w:r>
          </w:p>
        </w:tc>
        <w:tc>
          <w:tcPr/>
          <w:p>
            <w:pPr>
              <w:pStyle w:val="Compact"/>
              <w:jc w:val="left"/>
            </w:pPr>
            <w:r>
              <w:t xml:space="preserve">EQP-REF-200</w:t>
            </w:r>
          </w:p>
        </w:tc>
        <w:tc>
          <w:tcPr/>
          <w:p>
            <w:pPr>
              <w:pStyle w:val="Compact"/>
              <w:jc w:val="left"/>
            </w:pPr>
            <w:r>
              <w:t xml:space="preserve">1</w:t>
            </w:r>
          </w:p>
        </w:tc>
        <w:tc>
          <w:tcPr/>
          <w:p>
            <w:pPr>
              <w:pStyle w:val="Compact"/>
              <w:jc w:val="left"/>
            </w:pPr>
            <w:r>
              <w:t xml:space="preserve">Unit</w:t>
            </w:r>
          </w:p>
        </w:tc>
        <w:tc>
          <w:tcPr/>
          <w:p>
            <w:pPr>
              <w:pStyle w:val="Compact"/>
              <w:jc w:val="left"/>
            </w:pPr>
            <w:r>
              <w:t xml:space="preserve">3,400.00</w:t>
            </w:r>
          </w:p>
        </w:tc>
        <w:tc>
          <w:tcPr/>
          <w:p>
            <w:pPr>
              <w:pStyle w:val="Compact"/>
              <w:jc w:val="left"/>
            </w:pPr>
            <w:r>
              <w:t xml:space="preserve">3,400.00</w:t>
            </w:r>
          </w:p>
        </w:tc>
        <w:tc>
          <w:tcPr/>
          <w:p>
            <w:pPr>
              <w:pStyle w:val="Compact"/>
              <w:jc w:val="left"/>
            </w:pPr>
            <w:r>
              <w:t xml:space="preserve">21 days</w:t>
            </w:r>
          </w:p>
        </w:tc>
      </w:tr>
      <w:tr>
        <w:tc>
          <w:tcPr/>
          <w:p>
            <w:pPr>
              <w:pStyle w:val="Compact"/>
              <w:jc w:val="left"/>
            </w:pPr>
            <w:r>
              <w:t xml:space="preserve">09</w:t>
            </w:r>
          </w:p>
        </w:tc>
        <w:tc>
          <w:tcPr/>
          <w:p>
            <w:pPr>
              <w:pStyle w:val="Compact"/>
              <w:jc w:val="left"/>
            </w:pPr>
            <w:r>
              <w:t xml:space="preserve">Antiseptic hand gel 70% alcohol, 500 mL pump bottle, 12-bottle case</w:t>
            </w:r>
          </w:p>
        </w:tc>
        <w:tc>
          <w:tcPr/>
          <w:p>
            <w:pPr>
              <w:pStyle w:val="Compact"/>
              <w:jc w:val="left"/>
            </w:pPr>
            <w:r>
              <w:t xml:space="preserve">ANT-70-500</w:t>
            </w:r>
          </w:p>
        </w:tc>
        <w:tc>
          <w:tcPr/>
          <w:p>
            <w:pPr>
              <w:pStyle w:val="Compact"/>
              <w:jc w:val="left"/>
            </w:pPr>
            <w:r>
              <w:t xml:space="preserve">60</w:t>
            </w:r>
          </w:p>
        </w:tc>
        <w:tc>
          <w:tcPr/>
          <w:p>
            <w:pPr>
              <w:pStyle w:val="Compact"/>
              <w:jc w:val="left"/>
            </w:pPr>
            <w:r>
              <w:t xml:space="preserve">Cases</w:t>
            </w:r>
          </w:p>
        </w:tc>
        <w:tc>
          <w:tcPr/>
          <w:p>
            <w:pPr>
              <w:pStyle w:val="Compact"/>
              <w:jc w:val="left"/>
            </w:pPr>
            <w:r>
              <w:t xml:space="preserve">22.00</w:t>
            </w:r>
          </w:p>
        </w:tc>
        <w:tc>
          <w:tcPr/>
          <w:p>
            <w:pPr>
              <w:pStyle w:val="Compact"/>
              <w:jc w:val="left"/>
            </w:pPr>
            <w:r>
              <w:t xml:space="preserve">1,320.00</w:t>
            </w:r>
          </w:p>
        </w:tc>
        <w:tc>
          <w:tcPr/>
          <w:p>
            <w:pPr>
              <w:pStyle w:val="Compact"/>
              <w:jc w:val="left"/>
            </w:pPr>
            <w:r>
              <w:t xml:space="preserve">5 days</w:t>
            </w:r>
          </w:p>
        </w:tc>
      </w:tr>
      <w:tr>
        <w:tc>
          <w:tcPr/>
          <w:p>
            <w:pPr>
              <w:pStyle w:val="Compact"/>
              <w:jc w:val="left"/>
            </w:pPr>
            <w:r>
              <w:t xml:space="preserve">10</w:t>
            </w:r>
          </w:p>
        </w:tc>
        <w:tc>
          <w:tcPr/>
          <w:p>
            <w:pPr>
              <w:pStyle w:val="Compact"/>
              <w:jc w:val="left"/>
            </w:pPr>
            <w:r>
              <w:t xml:space="preserve">Pharmaceutical waste disposal containers, 20 L, biohazard-rated, 6-unit pack</w:t>
            </w:r>
          </w:p>
        </w:tc>
        <w:tc>
          <w:tcPr/>
          <w:p>
            <w:pPr>
              <w:pStyle w:val="Compact"/>
              <w:jc w:val="left"/>
            </w:pPr>
            <w:r>
              <w:t xml:space="preserve">WST-20L-6</w:t>
            </w:r>
          </w:p>
        </w:tc>
        <w:tc>
          <w:tcPr/>
          <w:p>
            <w:pPr>
              <w:pStyle w:val="Compact"/>
              <w:jc w:val="left"/>
            </w:pPr>
            <w:r>
              <w:t xml:space="preserve">25</w:t>
            </w:r>
          </w:p>
        </w:tc>
        <w:tc>
          <w:tcPr/>
          <w:p>
            <w:pPr>
              <w:pStyle w:val="Compact"/>
              <w:jc w:val="left"/>
            </w:pPr>
            <w:r>
              <w:t xml:space="preserve">Packs</w:t>
            </w:r>
          </w:p>
        </w:tc>
        <w:tc>
          <w:tcPr/>
          <w:p>
            <w:pPr>
              <w:pStyle w:val="Compact"/>
              <w:jc w:val="left"/>
            </w:pPr>
            <w:r>
              <w:t xml:space="preserve">34.00</w:t>
            </w:r>
          </w:p>
        </w:tc>
        <w:tc>
          <w:tcPr/>
          <w:p>
            <w:pPr>
              <w:pStyle w:val="Compact"/>
              <w:jc w:val="left"/>
            </w:pPr>
            <w:r>
              <w:t xml:space="preserve">850.00</w:t>
            </w:r>
          </w:p>
        </w:tc>
        <w:tc>
          <w:tcPr/>
          <w:p>
            <w:pPr>
              <w:pStyle w:val="Compact"/>
              <w:jc w:val="left"/>
            </w:pPr>
            <w:r>
              <w:t xml:space="preserve">7 days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€ 23,037.00</w:t>
            </w:r>
          </w:p>
        </w:tc>
      </w:tr>
      <w:tr>
        <w:tc>
          <w:tcPr/>
          <w:p>
            <w:pPr>
              <w:pStyle w:val="Compact"/>
              <w:jc w:val="left"/>
            </w:pPr>
            <w:r>
              <w:t xml:space="preserve">VAT (21% – Spain)</w:t>
            </w:r>
          </w:p>
        </w:tc>
        <w:tc>
          <w:tcPr/>
          <w:p>
            <w:pPr>
              <w:pStyle w:val="Compact"/>
              <w:jc w:val="right"/>
            </w:pPr>
            <w:r>
              <w:t xml:space="preserve">€ 4,837.77</w:t>
            </w:r>
          </w:p>
        </w:tc>
      </w:tr>
      <w:tr>
        <w:tc>
          <w:tcPr/>
          <w:p>
            <w:pPr>
              <w:pStyle w:val="Compact"/>
              <w:jc w:val="left"/>
            </w:pPr>
            <w:r>
              <w:t xml:space="preserve">Delivery &amp; Handling (Barcelona metro area)</w:t>
            </w:r>
          </w:p>
        </w:tc>
        <w:tc>
          <w:tcPr/>
          <w:p>
            <w:pPr>
              <w:pStyle w:val="Compact"/>
              <w:jc w:val="right"/>
            </w:pPr>
            <w:r>
              <w:t xml:space="preserve">€ 350.00</w:t>
            </w:r>
          </w:p>
        </w:tc>
      </w:tr>
      <w:tr>
        <w:tc>
          <w:tcPr/>
          <w:p>
            <w:pPr>
              <w:pStyle w:val="Compact"/>
              <w:jc w:val="left"/>
            </w:pPr>
            <w:r>
              <w:t xml:space="preserve">GRAND TOTAL (EUR)</w:t>
            </w:r>
          </w:p>
        </w:tc>
        <w:tc>
          <w:tcPr/>
          <w:p>
            <w:pPr>
              <w:pStyle w:val="Compact"/>
              <w:jc w:val="right"/>
            </w:pPr>
            <w:r>
              <w:t xml:space="preserve">€ 28,224.77</w:t>
            </w:r>
          </w:p>
        </w:tc>
      </w:tr>
    </w:tbl>
    <w:p>
      <w:pPr>
        <w:pStyle w:val="BodyText"/>
      </w:pPr>
      <w:r>
        <w:t xml:space="preserve">TERMS AND CONDITIONS</w:t>
      </w:r>
    </w:p>
    <w:p>
      <w:pPr>
        <w:pStyle w:val="BodyText"/>
      </w:pPr>
      <w:r>
        <w:rPr>
          <w:bCs/>
          <w:b/>
        </w:rPr>
        <w:t xml:space="preserve">1. Scope of Purchase Order:</w:t>
      </w:r>
      <w:r>
        <w:t xml:space="preserve"> </w:t>
      </w:r>
      <w:r>
        <w:t xml:space="preserve">This Purchase Order is issued by Pharmacia Barcelona Central S.L., a registered chemist (pharmacy) operating in Spain Barcelona, for the procurement of pharmaceutical products, medical supplies, and dispensing equipment listed above. All items must comply with the regulations set forth by the Agencia Española de Medicamentos y Productos Sanitarios (AEMPS) and the Generalitat de Catalunya health authority.</w:t>
      </w:r>
    </w:p>
    <w:p>
      <w:pPr>
        <w:pStyle w:val="BodyText"/>
      </w:pPr>
      <w:r>
        <w:rPr>
          <w:bCs/>
          <w:b/>
        </w:rPr>
        <w:t xml:space="preserve">2. Delivery:</w:t>
      </w:r>
      <w:r>
        <w:t xml:space="preserve"> </w:t>
      </w:r>
      <w:r>
        <w:t xml:space="preserve">All goods shall be delivered to the chemist premises located at Av. Diagonal, 456, 2º 1º, 08006 Barcelona, Spain. The supplier is responsible for safe transport, including cold-chain maintenance for refrigerated pharmaceuticals (Items 04). Delivery within the specified timeframes is mandatory. Late delivery beyond 48 hours of the stated window will incur a penalty of 0.5% of the affected line-item value per day, capped at 5%.</w:t>
      </w:r>
    </w:p>
    <w:p>
      <w:pPr>
        <w:pStyle w:val="BodyText"/>
      </w:pPr>
      <w:r>
        <w:rPr>
          <w:bCs/>
          <w:b/>
        </w:rPr>
        <w:t xml:space="preserve">3. Quality and Compliance:</w:t>
      </w:r>
      <w:r>
        <w:t xml:space="preserve"> </w:t>
      </w:r>
      <w:r>
        <w:t xml:space="preserve">The supplier warrants that all pharmaceutical products are manufactured in GMP-certified facilities, bear valid AEMPS marketing authorisations, and carry current batch numbers and expiry dates (minimum 18 months remaining at delivery). The chemist in Spain Barcelona reserves the right to reject any shipment that does not meet these standards. Equipment items must carry valid CE marking and conform to EU Directive 2017/745 where applicable.</w:t>
      </w:r>
    </w:p>
    <w:p>
      <w:pPr>
        <w:pStyle w:val="BodyText"/>
      </w:pPr>
      <w:r>
        <w:rPr>
          <w:bCs/>
          <w:b/>
        </w:rPr>
        <w:t xml:space="preserve">4. Payment:</w:t>
      </w:r>
      <w:r>
        <w:t xml:space="preserve"> </w:t>
      </w:r>
      <w:r>
        <w:t xml:space="preserve">Payment shall be made via SEPA bank transfer to the supplier's designated account within 30 calendar days of receipt of a valid invoice and confirmed delivery. The invoice must reference this Purchase Order number (PO-BCN-2025-04872) and include the supplier's NIF. Late payment will accrue interest at the European Central Bank reference rate plus 8 percentage points, in accordance with Spanish Royal Decree-Law 4/2013.</w:t>
      </w:r>
    </w:p>
    <w:p>
      <w:pPr>
        <w:pStyle w:val="BodyText"/>
      </w:pPr>
      <w:r>
        <w:rPr>
          <w:bCs/>
          <w:b/>
        </w:rPr>
        <w:t xml:space="preserve">5. Returns and Warranties:</w:t>
      </w:r>
      <w:r>
        <w:t xml:space="preserve"> </w:t>
      </w:r>
      <w:r>
        <w:t xml:space="preserve">Defective or damaged goods may be returned within 14 days of delivery at the supplier's expense. Pharmaceutical products with less than 12 months remaining shelf life at the time of delivery are subject to immediate return and full credit. Equipment carries a minimum 24-month manufacturer warranty, serviced locally in the Barcelona region.</w:t>
      </w:r>
    </w:p>
    <w:p>
      <w:pPr>
        <w:pStyle w:val="BodyText"/>
      </w:pPr>
      <w:r>
        <w:rPr>
          <w:bCs/>
          <w:b/>
        </w:rPr>
        <w:t xml:space="preserve">6. Regulatory Compliance – Spain Barcelona:</w:t>
      </w:r>
      <w:r>
        <w:t xml:space="preserve"> </w:t>
      </w:r>
      <w:r>
        <w:t xml:space="preserve">The supplier acknowledges that the buyer is a licensed chemist operating under the jurisdiction of the Consell Col·legial de Farmacèutics de Barcelona. All controlled substances (if any are added via amendment) must be accompanied by the appropriate Spanish pharmaceutical licence documentation. The supplier shall maintain full traceability records in accordance with the EU Falsified Medicines Directive (2011/62/EU) as transposed into Spanish law.</w:t>
      </w:r>
    </w:p>
    <w:p>
      <w:pPr>
        <w:pStyle w:val="BodyText"/>
      </w:pPr>
      <w:r>
        <w:rPr>
          <w:bCs/>
          <w:b/>
        </w:rPr>
        <w:t xml:space="preserve">7. Force Majeure:</w:t>
      </w:r>
      <w:r>
        <w:t xml:space="preserve"> </w:t>
      </w:r>
      <w:r>
        <w:t xml:space="preserve">Neither party shall be liable for delays caused by events beyond reasonable control, including but not limited to natural disasters, government-mandated closures, or supply-chain disruptions affecting the Barcelona metropolitan area. Affected parties must notify the other within 72 hours.</w:t>
      </w:r>
    </w:p>
    <w:p>
      <w:pPr>
        <w:pStyle w:val="BodyText"/>
      </w:pPr>
      <w:r>
        <w:rPr>
          <w:bCs/>
          <w:b/>
        </w:rPr>
        <w:t xml:space="preserve">8. Governing Law:</w:t>
      </w:r>
      <w:r>
        <w:t xml:space="preserve"> </w:t>
      </w:r>
      <w:r>
        <w:t xml:space="preserve">This Purchase Order shall be governed by and construed in accordance with the laws of Spain, with exclusive jurisdiction vested in the courts of Barcelona, Spain. Any disputes shall first be subject to good-faith mediation before the Barcelona Chamber of Commerce.</w:t>
      </w:r>
    </w:p>
    <w:p>
      <w:pPr>
        <w:pStyle w:val="BodyText"/>
      </w:pPr>
      <w:r>
        <w:rPr>
          <w:bCs/>
          <w:b/>
        </w:rPr>
        <w:t xml:space="preserve">9. Amendments:</w:t>
      </w:r>
      <w:r>
        <w:t xml:space="preserve"> </w:t>
      </w:r>
      <w:r>
        <w:t xml:space="preserve">No modification to this Purchase Order shall be valid unless made in writing and signed by authorised representatives of both the chemist buyer and the supplier. Verbal or email confirmations do not constitute amendments.</w:t>
      </w:r>
    </w:p>
    <w:p>
      <w:pPr>
        <w:pStyle w:val="BodyText"/>
      </w:pPr>
      <w:r>
        <w:t xml:space="preserve">AUTHORISATION &amp; SIGNATURES</w:t>
      </w:r>
    </w:p>
    <w:p>
      <w:pPr>
        <w:pStyle w:val="BodyText"/>
      </w:pPr>
      <w:r>
        <w:rPr>
          <w:bCs/>
          <w:b/>
        </w:rPr>
        <w:t xml:space="preserve">For the Buyer (Chemist – Spain Barcelona):</w:t>
      </w:r>
    </w:p>
    <w:p>
      <w:pPr>
        <w:pStyle w:val="BodyText"/>
      </w:pPr>
      <w:r>
        <w:t xml:space="preserve">Name: Dra. María Fernández López</w:t>
      </w:r>
    </w:p>
    <w:p>
      <w:pPr>
        <w:pStyle w:val="BodyText"/>
      </w:pPr>
      <w:r>
        <w:t xml:space="preserve">Position: Titular / Owner-Pharmacist</w:t>
      </w:r>
    </w:p>
    <w:p>
      <w:pPr>
        <w:pStyle w:val="BodyText"/>
      </w:pPr>
      <w:r>
        <w:t xml:space="preserve">Signature: ___________________________</w:t>
      </w:r>
    </w:p>
    <w:p>
      <w:pPr>
        <w:pStyle w:val="BodyText"/>
      </w:pPr>
      <w:r>
        <w:t xml:space="preserve">Date: 14 June 2025</w:t>
      </w:r>
    </w:p>
    <w:p>
      <w:pPr>
        <w:pStyle w:val="BodyText"/>
      </w:pPr>
      <w:r>
        <w:rPr>
          <w:bCs/>
          <w:b/>
        </w:rPr>
        <w:t xml:space="preserve">For the Supplier:</w:t>
      </w:r>
    </w:p>
    <w:p>
      <w:pPr>
        <w:pStyle w:val="BodyText"/>
      </w:pPr>
      <w:r>
        <w:t xml:space="preserve">Name: Sr. Jordi Puig Vidal</w:t>
      </w:r>
    </w:p>
    <w:p>
      <w:pPr>
        <w:pStyle w:val="BodyText"/>
      </w:pPr>
      <w:r>
        <w:t xml:space="preserve">Position: Commercial Director</w:t>
      </w:r>
    </w:p>
    <w:p>
      <w:pPr>
        <w:pStyle w:val="BodyText"/>
      </w:pPr>
      <w:r>
        <w:t xml:space="preserve">Signature: ___________________________</w:t>
      </w:r>
    </w:p>
    <w:p>
      <w:pPr>
        <w:pStyle w:val="BodyText"/>
      </w:pPr>
      <w:r>
        <w:t xml:space="preserve">Date: 14 June 2025</w:t>
      </w:r>
    </w:p>
    <w:p>
      <w:pPr>
        <w:pStyle w:val="BodyText"/>
      </w:pPr>
      <w:r>
        <w:t xml:space="preserve">This Purchase Order document was generated for Pharmacia Barcelona Central S.L., a registered chemist in Spain Barcelona. Document Ref: PO-BCN-2025-04872. This document is confidential and intended solely for the named parties. Unauthorised reproduction or distribution is prohibited under Spanish intellectual property law (Ley 1/1996 de Propiedad Intelectual).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Barcelona, Spain</dc:title>
  <dc:creator/>
  <dc:language>en</dc:language>
  <cp:keywords/>
  <dcterms:created xsi:type="dcterms:W3CDTF">2026-10-10T02:31:00Z</dcterms:created>
  <dcterms:modified xsi:type="dcterms:W3CDTF">2026-10-10T02:31:00Z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