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rPr>
          <w:bCs/>
          <w:b/>
        </w:rPr>
        <w:t xml:space="preserve">Siam Pacific Scientific Supplies Co., Ltd.</w:t>
      </w:r>
    </w:p>
    <w:p>
      <w:pPr>
        <w:pStyle w:val="BodyText"/>
      </w:pPr>
      <w:r>
        <w:t xml:space="preserve">128/44 Sukhumvit Road, Khlong Toei, Bangkok 10110, Thailand</w:t>
      </w:r>
    </w:p>
    <w:p>
      <w:pPr>
        <w:pStyle w:val="BodyText"/>
      </w:pPr>
      <w:r>
        <w:t xml:space="preserve">Tax ID: 0105558923471 | Tel: +66-2-255-8890 | Email: procurement@siampacificsc.com</w:t>
      </w:r>
    </w:p>
    <w:p>
      <w:pPr>
        <w:pStyle w:val="BodyText"/>
      </w:pPr>
      <w:r>
        <w:t xml:space="preserve">PO No. SPSC-2025-04782</w:t>
      </w:r>
    </w:p>
    <w:bookmarkEnd w:id="20"/>
    <w:p>
      <w:pPr>
        <w:pStyle w:val="BodyText"/>
      </w:pPr>
      <w:r>
        <w:rPr>
          <w:bCs/>
          <w:b/>
        </w:rPr>
        <w:t xml:space="preserve">Date of Issue:</w:t>
      </w:r>
      <w:r>
        <w:t xml:space="preserve"> </w:t>
      </w:r>
      <w:r>
        <w:t xml:space="preserve">15 June 2025</w:t>
      </w:r>
      <w:r>
        <w:br/>
      </w:r>
      <w:r>
        <w:rPr>
          <w:bCs/>
          <w:b/>
        </w:rPr>
        <w:t xml:space="preserve">Required Delivery Date:</w:t>
      </w:r>
      <w:r>
        <w:t xml:space="preserve"> </w:t>
      </w:r>
      <w:r>
        <w:t xml:space="preserve">29 June 2025</w:t>
      </w:r>
      <w:r>
        <w:br/>
      </w:r>
      <w:r>
        <w:rPr>
          <w:bCs/>
          <w:b/>
        </w:rPr>
        <w:t xml:space="preserve">Delivery Location:</w:t>
      </w:r>
      <w:r>
        <w:t xml:space="preserve"> </w:t>
      </w:r>
      <w:r>
        <w:t xml:space="preserve">Bangkok, Thailand</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Thai Baht (THB)</w:t>
      </w:r>
      <w:r>
        <w:br/>
      </w:r>
      <w:r>
        <w:rPr>
          <w:bCs/>
          <w:b/>
        </w:rPr>
        <w:t xml:space="preserve">Incoterms:</w:t>
      </w:r>
      <w:r>
        <w:t xml:space="preserve"> </w:t>
      </w:r>
      <w:r>
        <w:t xml:space="preserve">DAP Bangkok</w:t>
      </w:r>
    </w:p>
    <w:p>
      <w:pPr>
        <w:pStyle w:val="BodyText"/>
      </w:pPr>
      <w:r>
        <w:t xml:space="preserve">SUPPLIER / CHEMIST DETAILS</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Supplier Name:</w:t>
            </w:r>
            <w:r>
              <w:br/>
            </w:r>
            <w:r>
              <w:t xml:space="preserve">Pharmachem Bangkok Chemist &amp; Laboratory Supply House</w:t>
            </w:r>
          </w:p>
        </w:tc>
        <w:tc>
          <w:tcPr/>
          <w:p>
            <w:pPr>
              <w:pStyle w:val="Compact"/>
              <w:jc w:val="left"/>
            </w:pPr>
            <w:r>
              <w:rPr>
                <w:bCs/>
                <w:b/>
              </w:rPr>
              <w:t xml:space="preserve">Chemist License No.:</w:t>
            </w:r>
            <w:r>
              <w:br/>
            </w:r>
            <w:r>
              <w:t xml:space="preserve">TH-CHM-2019-004521 (Issued by Thai FDA)</w:t>
            </w:r>
          </w:p>
        </w:tc>
      </w:tr>
      <w:tr>
        <w:tc>
          <w:tcPr/>
          <w:p>
            <w:pPr>
              <w:pStyle w:val="Compact"/>
              <w:jc w:val="left"/>
            </w:pPr>
            <w:r>
              <w:rPr>
                <w:bCs/>
                <w:b/>
              </w:rPr>
              <w:t xml:space="preserve">Address:</w:t>
            </w:r>
            <w:r>
              <w:br/>
            </w:r>
            <w:r>
              <w:t xml:space="preserve">77/12 Ratchadamri Road, Lumphini, Pathum Wan, Bangkok 10330, Thailand</w:t>
            </w:r>
          </w:p>
        </w:tc>
        <w:tc>
          <w:tcPr/>
          <w:p>
            <w:pPr>
              <w:pStyle w:val="Compact"/>
              <w:jc w:val="left"/>
            </w:pPr>
            <w:r>
              <w:rPr>
                <w:bCs/>
                <w:b/>
              </w:rPr>
              <w:t xml:space="preserve">Contact Person:</w:t>
            </w:r>
            <w:r>
              <w:br/>
            </w:r>
            <w:r>
              <w:t xml:space="preserve">Dr. Anucha Siripong, Lead Chemist &amp; Account Manager</w:t>
            </w:r>
            <w:r>
              <w:br/>
            </w:r>
            <w:r>
              <w:t xml:space="preserve">Tel: +66-2-251-3344</w:t>
            </w:r>
          </w:p>
        </w:tc>
      </w:tr>
      <w:tr>
        <w:tc>
          <w:tcPr/>
          <w:p>
            <w:pPr>
              <w:pStyle w:val="Compact"/>
              <w:jc w:val="left"/>
            </w:pPr>
            <w:r>
              <w:rPr>
                <w:bCs/>
                <w:b/>
              </w:rPr>
              <w:t xml:space="preserve">Tax ID:</w:t>
            </w:r>
            <w:r>
              <w:br/>
            </w:r>
            <w:r>
              <w:t xml:space="preserve">0105547812395</w:t>
            </w:r>
          </w:p>
        </w:tc>
        <w:tc>
          <w:tcPr/>
          <w:p>
            <w:pPr>
              <w:pStyle w:val="Compact"/>
              <w:jc w:val="left"/>
            </w:pPr>
            <w:r>
              <w:rPr>
                <w:bCs/>
                <w:b/>
              </w:rPr>
              <w:t xml:space="preserve">VAT Registration:</w:t>
            </w:r>
            <w:r>
              <w:br/>
            </w:r>
            <w:r>
              <w:t xml:space="preserve">TH-VAT-0105547812395</w:t>
            </w:r>
          </w:p>
        </w:tc>
      </w:tr>
    </w:tbl>
    <w:p>
      <w:pPr>
        <w:pStyle w:val="BodyText"/>
      </w:pPr>
      <w:r>
        <w:t xml:space="preserve">PURCHASE ORDER LINE ITEMS – CHEMIST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Goods / Chemist Products</w:t>
            </w:r>
          </w:p>
        </w:tc>
        <w:tc>
          <w:tcPr/>
          <w:p>
            <w:pPr>
              <w:pStyle w:val="Compact"/>
              <w:jc w:val="left"/>
            </w:pPr>
            <w:r>
              <w:t xml:space="preserve">HS Code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t xml:space="preserve">1</w:t>
            </w:r>
          </w:p>
        </w:tc>
        <w:tc>
          <w:tcPr/>
          <w:p>
            <w:pPr>
              <w:pStyle w:val="Compact"/>
              <w:jc w:val="left"/>
            </w:pPr>
            <w:r>
              <w:t xml:space="preserve">Analytical Grade Sodium Hydroxide (NaOH), 500g bottles – Chemist certified reagent</w:t>
            </w:r>
          </w:p>
        </w:tc>
        <w:tc>
          <w:tcPr/>
          <w:p>
            <w:pPr>
              <w:pStyle w:val="Compact"/>
              <w:jc w:val="left"/>
            </w:pPr>
            <w:r>
              <w:t xml:space="preserve">2829.10</w:t>
            </w:r>
          </w:p>
        </w:tc>
        <w:tc>
          <w:tcPr/>
          <w:p>
            <w:pPr>
              <w:pStyle w:val="Compact"/>
              <w:jc w:val="left"/>
            </w:pPr>
            <w:r>
              <w:t xml:space="preserve">24</w:t>
            </w:r>
          </w:p>
        </w:tc>
        <w:tc>
          <w:tcPr/>
          <w:p>
            <w:pPr>
              <w:pStyle w:val="Compact"/>
              <w:jc w:val="left"/>
            </w:pPr>
            <w:r>
              <w:t xml:space="preserve">bottles</w:t>
            </w:r>
          </w:p>
        </w:tc>
        <w:tc>
          <w:tcPr/>
          <w:p>
            <w:pPr>
              <w:pStyle w:val="Compact"/>
              <w:jc w:val="left"/>
            </w:pPr>
            <w:r>
              <w:t xml:space="preserve">485.00</w:t>
            </w:r>
          </w:p>
        </w:tc>
        <w:tc>
          <w:tcPr/>
          <w:p>
            <w:pPr>
              <w:pStyle w:val="Compact"/>
              <w:jc w:val="left"/>
            </w:pPr>
            <w:r>
              <w:t xml:space="preserve">11,640.00</w:t>
            </w:r>
          </w:p>
        </w:tc>
      </w:tr>
      <w:tr>
        <w:tc>
          <w:tcPr/>
          <w:p>
            <w:pPr>
              <w:pStyle w:val="Compact"/>
              <w:jc w:val="left"/>
            </w:pPr>
            <w:r>
              <w:t xml:space="preserve">2</w:t>
            </w:r>
          </w:p>
        </w:tc>
        <w:tc>
          <w:tcPr/>
          <w:p>
            <w:pPr>
              <w:pStyle w:val="Compact"/>
              <w:jc w:val="left"/>
            </w:pPr>
            <w:r>
              <w:t xml:space="preserve">Pharmaceutical Grade Ethanol 96%, 1L containers – Licensed Chemist supply</w:t>
            </w:r>
          </w:p>
        </w:tc>
        <w:tc>
          <w:tcPr/>
          <w:p>
            <w:pPr>
              <w:pStyle w:val="Compact"/>
              <w:jc w:val="left"/>
            </w:pPr>
            <w:r>
              <w:t xml:space="preserve">2208.30</w:t>
            </w:r>
          </w:p>
        </w:tc>
        <w:tc>
          <w:tcPr/>
          <w:p>
            <w:pPr>
              <w:pStyle w:val="Compact"/>
              <w:jc w:val="left"/>
            </w:pPr>
            <w:r>
              <w:t xml:space="preserve">40</w:t>
            </w:r>
          </w:p>
        </w:tc>
        <w:tc>
          <w:tcPr/>
          <w:p>
            <w:pPr>
              <w:pStyle w:val="Compact"/>
              <w:jc w:val="left"/>
            </w:pPr>
            <w:r>
              <w:t xml:space="preserve">litres</w:t>
            </w:r>
          </w:p>
        </w:tc>
        <w:tc>
          <w:tcPr/>
          <w:p>
            <w:pPr>
              <w:pStyle w:val="Compact"/>
              <w:jc w:val="left"/>
            </w:pPr>
            <w:r>
              <w:t xml:space="preserve">320.00</w:t>
            </w:r>
          </w:p>
        </w:tc>
        <w:tc>
          <w:tcPr/>
          <w:p>
            <w:pPr>
              <w:pStyle w:val="Compact"/>
              <w:jc w:val="left"/>
            </w:pPr>
            <w:r>
              <w:t xml:space="preserve">12,800.00</w:t>
            </w:r>
          </w:p>
        </w:tc>
      </w:tr>
      <w:tr>
        <w:tc>
          <w:tcPr/>
          <w:p>
            <w:pPr>
              <w:pStyle w:val="Compact"/>
              <w:jc w:val="left"/>
            </w:pPr>
            <w:r>
              <w:t xml:space="preserve">3</w:t>
            </w:r>
          </w:p>
        </w:tc>
        <w:tc>
          <w:tcPr/>
          <w:p>
            <w:pPr>
              <w:pStyle w:val="Compact"/>
              <w:jc w:val="left"/>
            </w:pPr>
            <w:r>
              <w:t xml:space="preserve">Lab-Grade Potassium Permanganate (KMnO4), 250g – Chemist verified purity 99.5%</w:t>
            </w:r>
          </w:p>
        </w:tc>
        <w:tc>
          <w:tcPr/>
          <w:p>
            <w:pPr>
              <w:pStyle w:val="Compact"/>
              <w:jc w:val="left"/>
            </w:pPr>
            <w:r>
              <w:t xml:space="preserve">2842.10</w:t>
            </w:r>
          </w:p>
        </w:tc>
        <w:tc>
          <w:tcPr/>
          <w:p>
            <w:pPr>
              <w:pStyle w:val="Compact"/>
              <w:jc w:val="left"/>
            </w:pPr>
            <w:r>
              <w:t xml:space="preserve">16</w:t>
            </w:r>
          </w:p>
        </w:tc>
        <w:tc>
          <w:tcPr/>
          <w:p>
            <w:pPr>
              <w:pStyle w:val="Compact"/>
              <w:jc w:val="left"/>
            </w:pPr>
            <w:r>
              <w:t xml:space="preserve">packs</w:t>
            </w:r>
          </w:p>
        </w:tc>
        <w:tc>
          <w:tcPr/>
          <w:p>
            <w:pPr>
              <w:pStyle w:val="Compact"/>
              <w:jc w:val="left"/>
            </w:pPr>
            <w:r>
              <w:t xml:space="preserve">610.00</w:t>
            </w:r>
          </w:p>
        </w:tc>
        <w:tc>
          <w:tcPr/>
          <w:p>
            <w:pPr>
              <w:pStyle w:val="Compact"/>
              <w:jc w:val="left"/>
            </w:pPr>
            <w:r>
              <w:t xml:space="preserve">9,760.00</w:t>
            </w:r>
          </w:p>
        </w:tc>
      </w:tr>
      <w:tr>
        <w:tc>
          <w:tcPr/>
          <w:p>
            <w:pPr>
              <w:pStyle w:val="Compact"/>
              <w:jc w:val="left"/>
            </w:pPr>
            <w:r>
              <w:t xml:space="preserve">4</w:t>
            </w:r>
          </w:p>
        </w:tc>
        <w:tc>
          <w:tcPr/>
          <w:p>
            <w:pPr>
              <w:pStyle w:val="Compact"/>
              <w:jc w:val="left"/>
            </w:pPr>
            <w:r>
              <w:t xml:space="preserve">Universal pH Indicator Solution, 100ml – Chemist formulated for Thai climate</w:t>
            </w:r>
          </w:p>
        </w:tc>
        <w:tc>
          <w:tcPr/>
          <w:p>
            <w:pPr>
              <w:pStyle w:val="Compact"/>
              <w:jc w:val="left"/>
            </w:pPr>
            <w:r>
              <w:t xml:space="preserve">3822.19</w:t>
            </w:r>
          </w:p>
        </w:tc>
        <w:tc>
          <w:tcPr/>
          <w:p>
            <w:pPr>
              <w:pStyle w:val="Compact"/>
              <w:jc w:val="left"/>
            </w:pPr>
            <w:r>
              <w:t xml:space="preserve">30</w:t>
            </w:r>
          </w:p>
        </w:tc>
        <w:tc>
          <w:tcPr/>
          <w:p>
            <w:pPr>
              <w:pStyle w:val="Compact"/>
              <w:jc w:val="left"/>
            </w:pPr>
            <w:r>
              <w:t xml:space="preserve">bottles</w:t>
            </w:r>
          </w:p>
        </w:tc>
        <w:tc>
          <w:tcPr/>
          <w:p>
            <w:pPr>
              <w:pStyle w:val="Compact"/>
              <w:jc w:val="left"/>
            </w:pPr>
            <w:r>
              <w:t xml:space="preserve">275.00</w:t>
            </w:r>
          </w:p>
        </w:tc>
        <w:tc>
          <w:tcPr/>
          <w:p>
            <w:pPr>
              <w:pStyle w:val="Compact"/>
              <w:jc w:val="left"/>
            </w:pPr>
            <w:r>
              <w:t xml:space="preserve">8,250.00</w:t>
            </w:r>
          </w:p>
        </w:tc>
      </w:tr>
      <w:tr>
        <w:tc>
          <w:tcPr/>
          <w:p>
            <w:pPr>
              <w:pStyle w:val="Compact"/>
              <w:jc w:val="left"/>
            </w:pPr>
            <w:r>
              <w:t xml:space="preserve">5</w:t>
            </w:r>
          </w:p>
        </w:tc>
        <w:tc>
          <w:tcPr/>
          <w:p>
            <w:pPr>
              <w:pStyle w:val="Compact"/>
              <w:jc w:val="left"/>
            </w:pPr>
            <w:r>
              <w:t xml:space="preserve">Distilled Water, 5L jugs – Chemist purified, Bangkok municipal standard</w:t>
            </w:r>
          </w:p>
        </w:tc>
        <w:tc>
          <w:tcPr/>
          <w:p>
            <w:pPr>
              <w:pStyle w:val="Compact"/>
              <w:jc w:val="left"/>
            </w:pPr>
            <w:r>
              <w:t xml:space="preserve">2201.10</w:t>
            </w:r>
          </w:p>
        </w:tc>
        <w:tc>
          <w:tcPr/>
          <w:p>
            <w:pPr>
              <w:pStyle w:val="Compact"/>
              <w:jc w:val="left"/>
            </w:pPr>
            <w:r>
              <w:t xml:space="preserve">50</w:t>
            </w:r>
          </w:p>
        </w:tc>
        <w:tc>
          <w:tcPr/>
          <w:p>
            <w:pPr>
              <w:pStyle w:val="Compact"/>
              <w:jc w:val="left"/>
            </w:pPr>
            <w:r>
              <w:t xml:space="preserve">jugs</w:t>
            </w:r>
          </w:p>
        </w:tc>
        <w:tc>
          <w:tcPr/>
          <w:p>
            <w:pPr>
              <w:pStyle w:val="Compact"/>
              <w:jc w:val="left"/>
            </w:pPr>
            <w:r>
              <w:t xml:space="preserve">185.00</w:t>
            </w:r>
          </w:p>
        </w:tc>
        <w:tc>
          <w:tcPr/>
          <w:p>
            <w:pPr>
              <w:pStyle w:val="Compact"/>
              <w:jc w:val="left"/>
            </w:pPr>
            <w:r>
              <w:t xml:space="preserve">9,250.00</w:t>
            </w:r>
          </w:p>
        </w:tc>
      </w:tr>
      <w:tr>
        <w:tc>
          <w:tcPr/>
          <w:p>
            <w:pPr>
              <w:pStyle w:val="Compact"/>
              <w:jc w:val="left"/>
            </w:pPr>
            <w:r>
              <w:t xml:space="preserve">6</w:t>
            </w:r>
          </w:p>
        </w:tc>
        <w:tc>
          <w:tcPr/>
          <w:p>
            <w:pPr>
              <w:pStyle w:val="Compact"/>
              <w:jc w:val="left"/>
            </w:pPr>
            <w:r>
              <w:t xml:space="preserve">Chemist-Grade Boric Acid Powder, 1kg – For laboratory and pharmaceutical use</w:t>
            </w:r>
          </w:p>
        </w:tc>
        <w:tc>
          <w:tcPr/>
          <w:p>
            <w:pPr>
              <w:pStyle w:val="Compact"/>
              <w:jc w:val="left"/>
            </w:pPr>
            <w:r>
              <w:t xml:space="preserve">2836.50</w:t>
            </w:r>
          </w:p>
        </w:tc>
        <w:tc>
          <w:tcPr/>
          <w:p>
            <w:pPr>
              <w:pStyle w:val="Compact"/>
              <w:jc w:val="left"/>
            </w:pPr>
            <w:r>
              <w:t xml:space="preserve">12</w:t>
            </w:r>
          </w:p>
        </w:tc>
        <w:tc>
          <w:tcPr/>
          <w:p>
            <w:pPr>
              <w:pStyle w:val="Compact"/>
              <w:jc w:val="left"/>
            </w:pPr>
            <w:r>
              <w:t xml:space="preserve">kgs</w:t>
            </w:r>
          </w:p>
        </w:tc>
        <w:tc>
          <w:tcPr/>
          <w:p>
            <w:pPr>
              <w:pStyle w:val="Compact"/>
              <w:jc w:val="left"/>
            </w:pPr>
            <w:r>
              <w:t xml:space="preserve">420.00</w:t>
            </w:r>
          </w:p>
        </w:tc>
        <w:tc>
          <w:tcPr/>
          <w:p>
            <w:pPr>
              <w:pStyle w:val="Compact"/>
              <w:jc w:val="left"/>
            </w:pPr>
            <w:r>
              <w:t xml:space="preserve">5,040.00</w:t>
            </w:r>
          </w:p>
        </w:tc>
      </w:tr>
      <w:tr>
        <w:tc>
          <w:tcPr/>
          <w:p>
            <w:pPr>
              <w:pStyle w:val="Compact"/>
              <w:jc w:val="left"/>
            </w:pPr>
            <w:r>
              <w:t xml:space="preserve">7</w:t>
            </w:r>
          </w:p>
        </w:tc>
        <w:tc>
          <w:tcPr/>
          <w:p>
            <w:pPr>
              <w:pStyle w:val="Compact"/>
              <w:jc w:val="left"/>
            </w:pPr>
            <w:r>
              <w:t xml:space="preserve">Hydrogen Peroxide 30% (Chemist stabilized), 1L – For oxidation reactions</w:t>
            </w:r>
          </w:p>
        </w:tc>
        <w:tc>
          <w:tcPr/>
          <w:p>
            <w:pPr>
              <w:pStyle w:val="Compact"/>
              <w:jc w:val="left"/>
            </w:pPr>
            <w:r>
              <w:t xml:space="preserve">2846.00</w:t>
            </w:r>
          </w:p>
        </w:tc>
        <w:tc>
          <w:tcPr/>
          <w:p>
            <w:pPr>
              <w:pStyle w:val="Compact"/>
              <w:jc w:val="left"/>
            </w:pPr>
            <w:r>
              <w:t xml:space="preserve">20</w:t>
            </w:r>
          </w:p>
        </w:tc>
        <w:tc>
          <w:tcPr/>
          <w:p>
            <w:pPr>
              <w:pStyle w:val="Compact"/>
              <w:jc w:val="left"/>
            </w:pPr>
            <w:r>
              <w:t xml:space="preserve">litres</w:t>
            </w:r>
          </w:p>
        </w:tc>
        <w:tc>
          <w:tcPr/>
          <w:p>
            <w:pPr>
              <w:pStyle w:val="Compact"/>
              <w:jc w:val="left"/>
            </w:pPr>
            <w:r>
              <w:t xml:space="preserve">550.00</w:t>
            </w:r>
          </w:p>
        </w:tc>
        <w:tc>
          <w:tcPr/>
          <w:p>
            <w:pPr>
              <w:pStyle w:val="Compact"/>
              <w:jc w:val="left"/>
            </w:pPr>
            <w:r>
              <w:t xml:space="preserve">11,000.00</w:t>
            </w:r>
          </w:p>
        </w:tc>
      </w:tr>
      <w:tr>
        <w:tc>
          <w:tcPr/>
          <w:p>
            <w:pPr>
              <w:pStyle w:val="Compact"/>
              <w:jc w:val="left"/>
            </w:pPr>
            <w:r>
              <w:t xml:space="preserve">8</w:t>
            </w:r>
          </w:p>
        </w:tc>
        <w:tc>
          <w:tcPr/>
          <w:p>
            <w:pPr>
              <w:pStyle w:val="Compact"/>
              <w:jc w:val="left"/>
            </w:pPr>
            <w:r>
              <w:t xml:space="preserve">Chemist-Prepared Buffer Solutions (pH 4, 7, 10), 500ml each – Bangkok calibrated</w:t>
            </w:r>
          </w:p>
        </w:tc>
        <w:tc>
          <w:tcPr/>
          <w:p>
            <w:pPr>
              <w:pStyle w:val="Compact"/>
              <w:jc w:val="left"/>
            </w:pPr>
            <w:r>
              <w:t xml:space="preserve">3822.19</w:t>
            </w:r>
          </w:p>
        </w:tc>
        <w:tc>
          <w:tcPr/>
          <w:p>
            <w:pPr>
              <w:pStyle w:val="Compact"/>
              <w:jc w:val="left"/>
            </w:pPr>
            <w:r>
              <w:t xml:space="preserve">15</w:t>
            </w:r>
          </w:p>
        </w:tc>
        <w:tc>
          <w:tcPr/>
          <w:p>
            <w:pPr>
              <w:pStyle w:val="Compact"/>
              <w:jc w:val="left"/>
            </w:pPr>
            <w:r>
              <w:t xml:space="preserve">sets</w:t>
            </w:r>
          </w:p>
        </w:tc>
        <w:tc>
          <w:tcPr/>
          <w:p>
            <w:pPr>
              <w:pStyle w:val="Compact"/>
              <w:jc w:val="left"/>
            </w:pPr>
            <w:r>
              <w:t xml:space="preserve">1,250.00</w:t>
            </w:r>
          </w:p>
        </w:tc>
        <w:tc>
          <w:tcPr/>
          <w:p>
            <w:pPr>
              <w:pStyle w:val="Compact"/>
              <w:jc w:val="left"/>
            </w:pPr>
            <w:r>
              <w:t xml:space="preserve">18,750.00</w:t>
            </w:r>
          </w:p>
        </w:tc>
      </w:tr>
      <w:tr>
        <w:tc>
          <w:tcPr/>
          <w:p>
            <w:pPr>
              <w:pStyle w:val="Compact"/>
              <w:jc w:val="left"/>
            </w:pPr>
            <w:r>
              <w:t xml:space="preserve">9</w:t>
            </w:r>
          </w:p>
        </w:tc>
        <w:tc>
          <w:tcPr/>
          <w:p>
            <w:pPr>
              <w:pStyle w:val="Compact"/>
              <w:jc w:val="left"/>
            </w:pPr>
            <w:r>
              <w:t xml:space="preserve">Chemist-Grade Glycerol 99.7%, 500ml – Pharmaceutical and laboratory grade</w:t>
            </w:r>
          </w:p>
        </w:tc>
        <w:tc>
          <w:tcPr/>
          <w:p>
            <w:pPr>
              <w:pStyle w:val="Compact"/>
              <w:jc w:val="left"/>
            </w:pPr>
            <w:r>
              <w:t xml:space="preserve">2905.16</w:t>
            </w:r>
          </w:p>
        </w:tc>
        <w:tc>
          <w:tcPr/>
          <w:p>
            <w:pPr>
              <w:pStyle w:val="Compact"/>
              <w:jc w:val="left"/>
            </w:pPr>
            <w:r>
              <w:t xml:space="preserve">10</w:t>
            </w:r>
          </w:p>
        </w:tc>
        <w:tc>
          <w:tcPr/>
          <w:p>
            <w:pPr>
              <w:pStyle w:val="Compact"/>
              <w:jc w:val="left"/>
            </w:pPr>
            <w:r>
              <w:t xml:space="preserve">bottles</w:t>
            </w:r>
          </w:p>
        </w:tc>
        <w:tc>
          <w:tcPr/>
          <w:p>
            <w:pPr>
              <w:pStyle w:val="Compact"/>
              <w:jc w:val="left"/>
            </w:pPr>
            <w:r>
              <w:t xml:space="preserve">890.00</w:t>
            </w:r>
          </w:p>
        </w:tc>
        <w:tc>
          <w:tcPr/>
          <w:p>
            <w:pPr>
              <w:pStyle w:val="Compact"/>
              <w:jc w:val="left"/>
            </w:pPr>
            <w:r>
              <w:t xml:space="preserve">8,900.00</w:t>
            </w:r>
          </w:p>
        </w:tc>
      </w:tr>
      <w:tr>
        <w:tc>
          <w:tcPr/>
          <w:p>
            <w:pPr>
              <w:pStyle w:val="Compact"/>
              <w:jc w:val="left"/>
            </w:pPr>
            <w:r>
              <w:t xml:space="preserve">10</w:t>
            </w:r>
          </w:p>
        </w:tc>
        <w:tc>
          <w:tcPr/>
          <w:p>
            <w:pPr>
              <w:pStyle w:val="Compact"/>
              <w:jc w:val="left"/>
            </w:pPr>
            <w:r>
              <w:t xml:space="preserve">Chemist-Formulated Antiseptic Solution (Chlorhexidine 2%), 1L – Thai FDA approved</w:t>
            </w:r>
          </w:p>
        </w:tc>
        <w:tc>
          <w:tcPr/>
          <w:p>
            <w:pPr>
              <w:pStyle w:val="Compact"/>
              <w:jc w:val="left"/>
            </w:pPr>
            <w:r>
              <w:t xml:space="preserve">3006.91</w:t>
            </w:r>
          </w:p>
        </w:tc>
        <w:tc>
          <w:tcPr/>
          <w:p>
            <w:pPr>
              <w:pStyle w:val="Compact"/>
              <w:jc w:val="left"/>
            </w:pPr>
            <w:r>
              <w:t xml:space="preserve">25</w:t>
            </w:r>
          </w:p>
        </w:tc>
        <w:tc>
          <w:tcPr/>
          <w:p>
            <w:pPr>
              <w:pStyle w:val="Compact"/>
              <w:jc w:val="left"/>
            </w:pPr>
            <w:r>
              <w:t xml:space="preserve">litres</w:t>
            </w:r>
          </w:p>
        </w:tc>
        <w:tc>
          <w:tcPr/>
          <w:p>
            <w:pPr>
              <w:pStyle w:val="Compact"/>
              <w:jc w:val="left"/>
            </w:pPr>
            <w:r>
              <w:t xml:space="preserve">720.00</w:t>
            </w:r>
          </w:p>
        </w:tc>
        <w:tc>
          <w:tcPr/>
          <w:p>
            <w:pPr>
              <w:pStyle w:val="Compact"/>
              <w:jc w:val="left"/>
            </w:pPr>
            <w:r>
              <w:t xml:space="preserve">18,000.00</w:t>
            </w:r>
          </w:p>
        </w:tc>
      </w:tr>
      <w:tr>
        <w:tc>
          <w:tcPr>
            <w:gridSpan w:val="6"/>
          </w:tcPr>
          <w:p>
            <w:pPr>
              <w:pStyle w:val="Compact"/>
              <w:jc w:val="right"/>
            </w:pPr>
            <w:r>
              <w:t xml:space="preserve">Subtotal (THB):</w:t>
            </w:r>
          </w:p>
        </w:tc>
        <w:tc>
          <w:tcPr/>
          <w:p>
            <w:pPr>
              <w:pStyle w:val="Compact"/>
              <w:jc w:val="left"/>
            </w:pPr>
            <w:r>
              <w:t xml:space="preserve">113,390.00</w:t>
            </w:r>
          </w:p>
        </w:tc>
      </w:tr>
      <w:tr>
        <w:tc>
          <w:tcPr>
            <w:gridSpan w:val="6"/>
          </w:tcPr>
          <w:p>
            <w:pPr>
              <w:pStyle w:val="Compact"/>
              <w:jc w:val="right"/>
            </w:pPr>
            <w:r>
              <w:t xml:space="preserve">VAT 7% (Thailand Revenue Department):</w:t>
            </w:r>
          </w:p>
        </w:tc>
        <w:tc>
          <w:tcPr/>
          <w:p>
            <w:pPr>
              <w:pStyle w:val="Compact"/>
              <w:jc w:val="left"/>
            </w:pPr>
            <w:r>
              <w:t xml:space="preserve">7,937.30</w:t>
            </w:r>
          </w:p>
        </w:tc>
      </w:tr>
      <w:tr>
        <w:tc>
          <w:tcPr>
            <w:gridSpan w:val="6"/>
          </w:tcPr>
          <w:p>
            <w:pPr>
              <w:pStyle w:val="Compact"/>
              <w:jc w:val="right"/>
            </w:pPr>
            <w:r>
              <w:t xml:space="preserve">Delivery &amp; Handling (Bangkok Metro):</w:t>
            </w:r>
          </w:p>
        </w:tc>
        <w:tc>
          <w:tcPr/>
          <w:p>
            <w:pPr>
              <w:pStyle w:val="Compact"/>
              <w:jc w:val="left"/>
            </w:pPr>
            <w:r>
              <w:t xml:space="preserve">2,500.00</w:t>
            </w:r>
          </w:p>
        </w:tc>
      </w:tr>
      <w:tr>
        <w:tc>
          <w:tcPr>
            <w:gridSpan w:val="6"/>
          </w:tcPr>
          <w:p>
            <w:pPr>
              <w:pStyle w:val="Compact"/>
              <w:jc w:val="right"/>
            </w:pPr>
            <w:r>
              <w:t xml:space="preserve">GRAND TOTAL (THB):</w:t>
            </w:r>
          </w:p>
        </w:tc>
        <w:tc>
          <w:tcPr/>
          <w:p>
            <w:pPr>
              <w:pStyle w:val="Compact"/>
              <w:jc w:val="left"/>
            </w:pPr>
            <w:r>
              <w:t xml:space="preserve">123,827.30</w:t>
            </w:r>
          </w:p>
        </w:tc>
      </w:tr>
    </w:tbl>
    <w:p>
      <w:pPr>
        <w:pStyle w:val="BodyText"/>
      </w:pPr>
      <w:r>
        <w:t xml:space="preserve">All prices are quoted in Thai Baht (THB). VAT is calculated in accordance with the Revenue Code of Thailand B.E. 2564. The Chemist supplier is required to issue a VAT invoice (Tax Invoice) upon delivery.</w:t>
      </w:r>
    </w:p>
    <w:p>
      <w:pPr>
        <w:pStyle w:val="BodyText"/>
      </w:pPr>
      <w:r>
        <w:t xml:space="preserve">TERMS AND CONDITIONS</w:t>
      </w:r>
    </w:p>
    <w:p>
      <w:pPr>
        <w:numPr>
          <w:ilvl w:val="0"/>
          <w:numId w:val="1001"/>
        </w:numPr>
        <w:pStyle w:val="Compact"/>
      </w:pPr>
      <w:r>
        <w:rPr>
          <w:bCs/>
          <w:b/>
        </w:rPr>
        <w:t xml:space="preserve">Chemist Certification:</w:t>
      </w:r>
      <w:r>
        <w:t xml:space="preserve"> </w:t>
      </w:r>
      <w:r>
        <w:t xml:space="preserve">All chemical products supplied under this Purchase Order must be certified by a licensed Chemist registered with the Thai Food and Drug Administration (FDA). Each batch must carry a Certificate of Analysis (CoA) signed by the responsible Chemist at the supplier facility in Bangkok.</w:t>
      </w:r>
    </w:p>
    <w:p>
      <w:pPr>
        <w:numPr>
          <w:ilvl w:val="0"/>
          <w:numId w:val="1001"/>
        </w:numPr>
        <w:pStyle w:val="Compact"/>
      </w:pPr>
      <w:r>
        <w:rPr>
          <w:bCs/>
          <w:b/>
        </w:rPr>
        <w:t xml:space="preserve">Regulatory Compliance (Thailand):</w:t>
      </w:r>
      <w:r>
        <w:t xml:space="preserve"> </w:t>
      </w:r>
      <w:r>
        <w:t xml:space="preserve">The Chemist supplier shall ensure full compliance with the Thai Ministry of Public Health regulations, the Hazardous Substances Act B.E. 2535, and all applicable Bangkok Metropolitan Administration (BMA) environmental and safety guidelines for the transport and storage of chemical substances.</w:t>
      </w:r>
    </w:p>
    <w:p>
      <w:pPr>
        <w:numPr>
          <w:ilvl w:val="0"/>
          <w:numId w:val="1001"/>
        </w:numPr>
        <w:pStyle w:val="Compact"/>
      </w:pPr>
      <w:r>
        <w:rPr>
          <w:bCs/>
          <w:b/>
        </w:rPr>
        <w:t xml:space="preserve">Delivery in Bangkok:</w:t>
      </w:r>
      <w:r>
        <w:t xml:space="preserve"> </w:t>
      </w:r>
      <w:r>
        <w:t xml:space="preserve">All goods shall be delivered to the buyer's facility located in Khlong Toei District, Bangkok, Thailand. The Chemist supplier is responsible for arranging safe transport within the Bangkok metropolitan area using vehicles equipped with appropriate chemical handling and spill-containment equipment as mandated by Thai law.</w:t>
      </w:r>
    </w:p>
    <w:p>
      <w:pPr>
        <w:numPr>
          <w:ilvl w:val="0"/>
          <w:numId w:val="1001"/>
        </w:numPr>
        <w:pStyle w:val="Compact"/>
      </w:pPr>
      <w:r>
        <w:rPr>
          <w:bCs/>
          <w:b/>
        </w:rPr>
        <w:t xml:space="preserve">Quality Assurance:</w:t>
      </w:r>
      <w:r>
        <w:t xml:space="preserve"> </w:t>
      </w:r>
      <w:r>
        <w:t xml:space="preserve">The Chemist supplier guarantees that all reagents and pharmaceutical-grade materials meet or exceed the specifications stated in the Thai Pharmacopoeia (ThaiPh) and International Pharmacopoeia (Ph.Int.). Any batch failing quality inspection upon receipt at the Bangkok receiving dock shall be rejected at no cost to the buyer.</w:t>
      </w:r>
    </w:p>
    <w:p>
      <w:pPr>
        <w:numPr>
          <w:ilvl w:val="0"/>
          <w:numId w:val="1001"/>
        </w:numPr>
        <w:pStyle w:val="Compact"/>
      </w:pPr>
      <w:r>
        <w:rPr>
          <w:bCs/>
          <w:b/>
        </w:rPr>
        <w:t xml:space="preserve">Payment:</w:t>
      </w:r>
      <w:r>
        <w:t xml:space="preserve"> </w:t>
      </w:r>
      <w:r>
        <w:t xml:space="preserve">Payment of the full Purchase Order amount shall be made via bank transfer to the Chemist supplier's registered account within thirty (30) calendar days from the date of confirmed delivery and receipt of a valid Thai VAT Tax Invoice. Late payments shall incur interest at the rate prescribed by the Thai Civil and Commercial Code.</w:t>
      </w:r>
    </w:p>
    <w:p>
      <w:pPr>
        <w:numPr>
          <w:ilvl w:val="0"/>
          <w:numId w:val="1001"/>
        </w:numPr>
        <w:pStyle w:val="Compact"/>
      </w:pPr>
      <w:r>
        <w:rPr>
          <w:bCs/>
          <w:b/>
        </w:rPr>
        <w:t xml:space="preserve">Storage and Shelf Life:</w:t>
      </w:r>
      <w:r>
        <w:t xml:space="preserve"> </w:t>
      </w:r>
      <w:r>
        <w:t xml:space="preserve">The Chemist supplier shall ensure that all products have a minimum remaining shelf life of eighteen (18) months at the time of delivery. Temperature-sensitive items must be transported in climate-controlled vehicles suitable for the Bangkok climate (ambient 30–38°C, humidity 70–90%).</w:t>
      </w:r>
    </w:p>
    <w:p>
      <w:pPr>
        <w:numPr>
          <w:ilvl w:val="0"/>
          <w:numId w:val="1001"/>
        </w:numPr>
        <w:pStyle w:val="Compact"/>
      </w:pPr>
      <w:r>
        <w:rPr>
          <w:bCs/>
          <w:b/>
        </w:rPr>
        <w:t xml:space="preserve">Intellectual Property and Confidentiality:</w:t>
      </w:r>
      <w:r>
        <w:t xml:space="preserve"> </w:t>
      </w:r>
      <w:r>
        <w:t xml:space="preserve">All proprietary formulations prepared by the Chemist supplier under this Purchase Order remain the intellectual property of the supplier. The buyer shall not reverse-engineer or disclose proprietary Chemist formulations to third parties without written consent.</w:t>
      </w:r>
    </w:p>
    <w:p>
      <w:pPr>
        <w:numPr>
          <w:ilvl w:val="0"/>
          <w:numId w:val="1001"/>
        </w:numPr>
        <w:pStyle w:val="Compact"/>
      </w:pPr>
      <w:r>
        <w:rPr>
          <w:bCs/>
          <w:b/>
        </w:rPr>
        <w:t xml:space="preserve">Dispute Resolution:</w:t>
      </w:r>
      <w:r>
        <w:t xml:space="preserve"> </w:t>
      </w:r>
      <w:r>
        <w:t xml:space="preserve">Any disputes arising from this Purchase Order shall be governed by the laws of the Kingdom of Thailand. Matters shall first be subject to mediation in Bangkok. If unresolved, disputes shall be referred to the Bangkok Court of Justice or, at the buyer's election, to arbitration under the rules of the Thai Arbitration Institute.</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closures in Bangkok, or national emergencies declared by the Thai government.</w:t>
      </w:r>
    </w:p>
    <w:p>
      <w:pPr>
        <w:numPr>
          <w:ilvl w:val="0"/>
          <w:numId w:val="1001"/>
        </w:numPr>
        <w:pStyle w:val="Compact"/>
      </w:pPr>
      <w:r>
        <w:rPr>
          <w:bCs/>
          <w:b/>
        </w:rPr>
        <w:t xml:space="preserve">Validity:</w:t>
      </w:r>
      <w:r>
        <w:t xml:space="preserve"> </w:t>
      </w:r>
      <w:r>
        <w:t xml:space="preserve">This Purchase Order is valid for acceptance within seven (7) calendar days from the date of issue. The Chemist supplier must confirm acceptance in writing (email or signed copy) within this period.</w:t>
      </w:r>
    </w:p>
    <w:p>
      <w:pPr>
        <w:pStyle w:val="FirstParagraph"/>
      </w:pPr>
      <w:r>
        <w:t xml:space="preserve">AUTHORIZATION AND SIGNATURES</w:t>
      </w:r>
    </w:p>
    <w:p>
      <w:pPr>
        <w:pStyle w:val="BodyText"/>
      </w:pPr>
      <w:r>
        <w:rPr>
          <w:bCs/>
          <w:b/>
        </w:rPr>
        <w:t xml:space="preserve">For and on behalf of the Buyer:</w:t>
      </w:r>
      <w:r>
        <w:br/>
      </w:r>
      <w:r>
        <w:t xml:space="preserve">Siam Pacific Scientific Supplies Co., Ltd.</w:t>
      </w:r>
    </w:p>
    <w:p>
      <w:pPr>
        <w:pStyle w:val="BodyText"/>
      </w:pPr>
      <w:r>
        <w:t xml:space="preserve">Name: Mr. Somchai Prasert</w:t>
      </w:r>
      <w:r>
        <w:br/>
      </w:r>
      <w:r>
        <w:t xml:space="preserve">Title: Head of Procurement</w:t>
      </w:r>
      <w:r>
        <w:br/>
      </w:r>
      <w:r>
        <w:t xml:space="preserve">Signature: _________________________</w:t>
      </w:r>
      <w:r>
        <w:br/>
      </w:r>
      <w:r>
        <w:t xml:space="preserve">Date: _______________</w:t>
      </w:r>
    </w:p>
    <w:p>
      <w:pPr>
        <w:pStyle w:val="BodyText"/>
      </w:pPr>
      <w:r>
        <w:rPr>
          <w:bCs/>
          <w:b/>
        </w:rPr>
        <w:t xml:space="preserve">For and on behalf of the Chemist Supplier:</w:t>
      </w:r>
      <w:r>
        <w:br/>
      </w:r>
      <w:r>
        <w:t xml:space="preserve">Pharmachem Bangkok Chemist &amp; Laboratory Supply House</w:t>
      </w:r>
    </w:p>
    <w:p>
      <w:pPr>
        <w:pStyle w:val="BodyText"/>
      </w:pPr>
      <w:r>
        <w:t xml:space="preserve">Name: Dr. Anucha Siripong</w:t>
      </w:r>
      <w:r>
        <w:br/>
      </w:r>
      <w:r>
        <w:t xml:space="preserve">Title: Lead Chemist &amp; Account Manager</w:t>
      </w:r>
      <w:r>
        <w:br/>
      </w:r>
      <w:r>
        <w:t xml:space="preserve">Signature: _________________________</w:t>
      </w:r>
      <w:r>
        <w:br/>
      </w:r>
      <w:r>
        <w:t xml:space="preserve">Date: _______________</w:t>
      </w:r>
    </w:p>
    <w:p>
      <w:pPr>
        <w:pStyle w:val="BodyText"/>
      </w:pPr>
      <w:r>
        <w:t xml:space="preserve">This Purchase Order (SPSC-2025-04782) is issued by Siam Pacific Scientific Supplies Co., Ltd., Bangkok, Thailand, for the procurement of Chemist-certified laboratory and pharmaceutical supplies. All transactions are subject to the laws of the Kingdom of Thailand. This document is valid only when signed and stamped by both parties. For inquiries, contact the Procurement Department at +66-2-255-8890 or procurement@siampacificsc.com. Bangkok, Thailand.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Thailand Bangkok</dc:title>
  <dc:creator/>
  <dc:language>en</dc:language>
  <cp:keywords/>
  <dcterms:created xsi:type="dcterms:W3CDTF">2026-10-10T06:26:59Z</dcterms:created>
  <dcterms:modified xsi:type="dcterms:W3CDTF">2026-10-10T06:26:59Z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