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rPr>
          <w:bCs/>
          <w:b/>
        </w:rPr>
        <w:t xml:space="preserve">Ankara Chemist Supply Co. Ltd.</w:t>
      </w:r>
    </w:p>
    <w:p>
      <w:pPr>
        <w:pStyle w:val="BodyText"/>
      </w:pPr>
      <w:r>
        <w:t xml:space="preserve">Chemist &amp; Pharmaceutical Distribution Services</w:t>
      </w:r>
    </w:p>
    <w:p>
      <w:pPr>
        <w:pStyle w:val="BodyText"/>
      </w:pPr>
      <w:r>
        <w:t xml:space="preserve">Atatürk Bulvarı No. 245, Çankaya, 06700 Ankara, Turkey</w:t>
      </w:r>
    </w:p>
    <w:p>
      <w:pPr>
        <w:pStyle w:val="BodyText"/>
      </w:pPr>
      <w:r>
        <w:t xml:space="preserve">Tax ID (VKN): 1234567890 | Phone: +90 312 456 7890 | Email: procurement@ankarachemist.com.tr</w:t>
      </w:r>
    </w:p>
    <w:bookmarkEnd w:id="20"/>
    <w:p>
      <w:pPr>
        <w:pStyle w:val="BodyText"/>
      </w:pPr>
      <w:r>
        <w:rPr>
          <w:bCs/>
          <w:b/>
        </w:rPr>
        <w:t xml:space="preserve">Purchase Order No.:</w:t>
      </w:r>
      <w:r>
        <w:t xml:space="preserve"> </w:t>
      </w:r>
      <w:r>
        <w:t xml:space="preserve">PO-ANK-2025-00487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t xml:space="preserve">CHEMIST SUPPLY</w:t>
      </w:r>
    </w:p>
    <w:p>
      <w:pPr>
        <w:pStyle w:val="BodyText"/>
      </w:pPr>
      <w:r>
        <w:rPr>
          <w:bCs/>
          <w:b/>
        </w:rPr>
        <w:t xml:space="preserve">Region:</w:t>
      </w:r>
      <w:r>
        <w:t xml:space="preserve"> </w:t>
      </w:r>
      <w:r>
        <w:t xml:space="preserve">Turkey Ankara</w:t>
      </w:r>
    </w:p>
    <w:p>
      <w:pPr>
        <w:pStyle w:val="BodyText"/>
      </w:pPr>
      <w:r>
        <w:rPr>
          <w:bCs/>
          <w:b/>
        </w:rPr>
        <w:t xml:space="preserve">Priority:</w:t>
      </w:r>
      <w:r>
        <w:t xml:space="preserve"> </w:t>
      </w:r>
      <w:r>
        <w:t xml:space="preserve">Standard</w:t>
      </w:r>
    </w:p>
    <w:p>
      <w:pPr>
        <w:pStyle w:val="BodyText"/>
      </w:pPr>
      <w:r>
        <w:t xml:space="preserve">1. 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MedChem Ankara Distribution A.Ş.</w:t>
            </w:r>
          </w:p>
        </w:tc>
      </w:tr>
      <w:tr>
        <w:tc>
          <w:tcPr/>
          <w:p>
            <w:pPr>
              <w:pStyle w:val="Compact"/>
              <w:jc w:val="left"/>
            </w:pPr>
            <w:r>
              <w:rPr>
                <w:bCs/>
                <w:b/>
              </w:rPr>
              <w:t xml:space="preserve">Address:</w:t>
            </w:r>
          </w:p>
        </w:tc>
        <w:tc>
          <w:tcPr/>
          <w:p>
            <w:pPr>
              <w:pStyle w:val="Compact"/>
              <w:jc w:val="left"/>
            </w:pPr>
            <w:r>
              <w:t xml:space="preserve">İvedik Organized Industrial Zone, Blok C-12, 06230 Ankara, Turkey</w:t>
            </w:r>
          </w:p>
        </w:tc>
      </w:tr>
      <w:tr>
        <w:tc>
          <w:tcPr/>
          <w:p>
            <w:pPr>
              <w:pStyle w:val="Compact"/>
              <w:jc w:val="left"/>
            </w:pPr>
            <w:r>
              <w:rPr>
                <w:bCs/>
                <w:b/>
              </w:rPr>
              <w:t xml:space="preserve">Contact Person:</w:t>
            </w:r>
          </w:p>
        </w:tc>
        <w:tc>
          <w:tcPr/>
          <w:p>
            <w:pPr>
              <w:pStyle w:val="Compact"/>
              <w:jc w:val="left"/>
            </w:pPr>
            <w:r>
              <w:t xml:space="preserve">Dr. Elif Yılmaz – Head of Chemist Product Sales</w:t>
            </w:r>
          </w:p>
        </w:tc>
      </w:tr>
      <w:tr>
        <w:tc>
          <w:tcPr/>
          <w:p>
            <w:pPr>
              <w:pStyle w:val="Compact"/>
              <w:jc w:val="left"/>
            </w:pPr>
            <w:r>
              <w:rPr>
                <w:bCs/>
                <w:b/>
              </w:rPr>
              <w:t xml:space="preserve">Tax ID (VKN):</w:t>
            </w:r>
          </w:p>
        </w:tc>
        <w:tc>
          <w:tcPr/>
          <w:p>
            <w:pPr>
              <w:pStyle w:val="Compact"/>
              <w:jc w:val="left"/>
            </w:pPr>
            <w:r>
              <w:t xml:space="preserve">9876543210</w:t>
            </w:r>
          </w:p>
        </w:tc>
      </w:tr>
      <w:tr>
        <w:tc>
          <w:tcPr/>
          <w:p>
            <w:pPr>
              <w:pStyle w:val="Compact"/>
              <w:jc w:val="left"/>
            </w:pPr>
            <w:r>
              <w:rPr>
                <w:bCs/>
                <w:b/>
              </w:rPr>
              <w:t xml:space="preserve">Phone / Email:</w:t>
            </w:r>
          </w:p>
        </w:tc>
        <w:tc>
          <w:tcPr/>
          <w:p>
            <w:pPr>
              <w:pStyle w:val="Compact"/>
              <w:jc w:val="left"/>
            </w:pPr>
            <w:r>
              <w:t xml:space="preserve">+90 312 987 6543 / sales@medchemankara.com.tr</w:t>
            </w:r>
          </w:p>
        </w:tc>
      </w:tr>
    </w:tbl>
    <w:p>
      <w:pPr>
        <w:pStyle w:val="BodyText"/>
      </w:pPr>
      <w:r>
        <w:t xml:space="preserve">2. Buyer / Receiving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Ankara Chemist Supply Co. Ltd.</w:t>
            </w:r>
          </w:p>
        </w:tc>
      </w:tr>
      <w:tr>
        <w:tc>
          <w:tcPr/>
          <w:p>
            <w:pPr>
              <w:pStyle w:val="Compact"/>
              <w:jc w:val="left"/>
            </w:pPr>
            <w:r>
              <w:rPr>
                <w:bCs/>
                <w:b/>
              </w:rPr>
              <w:t xml:space="preserve">Receiving Address:</w:t>
            </w:r>
          </w:p>
        </w:tc>
        <w:tc>
          <w:tcPr/>
          <w:p>
            <w:pPr>
              <w:pStyle w:val="Compact"/>
              <w:jc w:val="left"/>
            </w:pPr>
            <w:r>
              <w:t xml:space="preserve">Atatürk Bulvarı No. 245, Çankaya, 06700 Ankara, Turkey</w:t>
            </w:r>
          </w:p>
        </w:tc>
      </w:tr>
      <w:tr>
        <w:tc>
          <w:tcPr/>
          <w:p>
            <w:pPr>
              <w:pStyle w:val="Compact"/>
              <w:jc w:val="left"/>
            </w:pPr>
            <w:r>
              <w:rPr>
                <w:bCs/>
                <w:b/>
              </w:rPr>
              <w:t xml:space="preserve">Contact Person:</w:t>
            </w:r>
          </w:p>
        </w:tc>
        <w:tc>
          <w:tcPr/>
          <w:p>
            <w:pPr>
              <w:pStyle w:val="Compact"/>
              <w:jc w:val="left"/>
            </w:pPr>
            <w:r>
              <w:t xml:space="preserve">Mehmet Kaya – Procurement Manager</w:t>
            </w:r>
          </w:p>
        </w:tc>
      </w:tr>
      <w:tr>
        <w:tc>
          <w:tcPr/>
          <w:p>
            <w:pPr>
              <w:pStyle w:val="Compact"/>
              <w:jc w:val="left"/>
            </w:pPr>
            <w:r>
              <w:rPr>
                <w:bCs/>
                <w:b/>
              </w:rPr>
              <w:t xml:space="preserve">Phone / Email:</w:t>
            </w:r>
          </w:p>
        </w:tc>
        <w:tc>
          <w:tcPr/>
          <w:p>
            <w:pPr>
              <w:pStyle w:val="Compact"/>
              <w:jc w:val="left"/>
            </w:pPr>
            <w:r>
              <w:t xml:space="preserve">+90 312 456 7890 / procurement@ankarachemist.com.tr</w:t>
            </w:r>
          </w:p>
        </w:tc>
      </w:tr>
    </w:tbl>
    <w:p>
      <w:pPr>
        <w:pStyle w:val="BodyText"/>
      </w:pPr>
      <w:r>
        <w:t xml:space="preserve">3. Purchase Order Line Items – Chemist Products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001</w:t>
            </w:r>
          </w:p>
        </w:tc>
        <w:tc>
          <w:tcPr/>
          <w:p>
            <w:pPr>
              <w:pStyle w:val="Compact"/>
              <w:jc w:val="left"/>
            </w:pPr>
            <w:r>
              <w:t xml:space="preserve">Sterile Sodium Chloride 0.9% IV Solution, 500ml – Chemist Grade</w:t>
            </w:r>
          </w:p>
        </w:tc>
        <w:tc>
          <w:tcPr/>
          <w:p>
            <w:pPr>
              <w:pStyle w:val="Compact"/>
              <w:jc w:val="left"/>
            </w:pPr>
            <w:r>
              <w:t xml:space="preserve">Pharmaceutical</w:t>
            </w:r>
          </w:p>
        </w:tc>
        <w:tc>
          <w:tcPr/>
          <w:p>
            <w:pPr>
              <w:pStyle w:val="Compact"/>
              <w:jc w:val="left"/>
            </w:pPr>
            <w:r>
              <w:t xml:space="preserve">2,000</w:t>
            </w:r>
          </w:p>
        </w:tc>
        <w:tc>
          <w:tcPr/>
          <w:p>
            <w:pPr>
              <w:pStyle w:val="Compact"/>
              <w:jc w:val="left"/>
            </w:pPr>
            <w:r>
              <w:t xml:space="preserve">Bottles</w:t>
            </w:r>
          </w:p>
        </w:tc>
        <w:tc>
          <w:tcPr/>
          <w:p>
            <w:pPr>
              <w:pStyle w:val="Compact"/>
              <w:jc w:val="left"/>
            </w:pPr>
            <w:r>
              <w:t xml:space="preserve">48.50</w:t>
            </w:r>
          </w:p>
        </w:tc>
        <w:tc>
          <w:tcPr/>
          <w:p>
            <w:pPr>
              <w:pStyle w:val="Compact"/>
              <w:jc w:val="left"/>
            </w:pPr>
            <w:r>
              <w:t xml:space="preserve">97,000.00</w:t>
            </w:r>
          </w:p>
        </w:tc>
      </w:tr>
      <w:tr>
        <w:tc>
          <w:tcPr/>
          <w:p>
            <w:pPr>
              <w:pStyle w:val="Compact"/>
              <w:jc w:val="left"/>
            </w:pPr>
            <w:r>
              <w:t xml:space="preserve">002</w:t>
            </w:r>
          </w:p>
        </w:tc>
        <w:tc>
          <w:tcPr/>
          <w:p>
            <w:pPr>
              <w:pStyle w:val="Compact"/>
              <w:jc w:val="left"/>
            </w:pPr>
            <w:r>
              <w:t xml:space="preserve">Paracetamol 500mg Tablets, 100-count Blister – Chemist Formulation</w:t>
            </w:r>
          </w:p>
        </w:tc>
        <w:tc>
          <w:tcPr/>
          <w:p>
            <w:pPr>
              <w:pStyle w:val="Compact"/>
              <w:jc w:val="left"/>
            </w:pPr>
            <w:r>
              <w:t xml:space="preserve">Pharmaceutical</w:t>
            </w:r>
          </w:p>
        </w:tc>
        <w:tc>
          <w:tcPr/>
          <w:p>
            <w:pPr>
              <w:pStyle w:val="Compact"/>
              <w:jc w:val="left"/>
            </w:pPr>
            <w:r>
              <w:t xml:space="preserve">5,000</w:t>
            </w:r>
          </w:p>
        </w:tc>
        <w:tc>
          <w:tcPr/>
          <w:p>
            <w:pPr>
              <w:pStyle w:val="Compact"/>
              <w:jc w:val="left"/>
            </w:pPr>
            <w:r>
              <w:t xml:space="preserve">Boxes</w:t>
            </w:r>
          </w:p>
        </w:tc>
        <w:tc>
          <w:tcPr/>
          <w:p>
            <w:pPr>
              <w:pStyle w:val="Compact"/>
              <w:jc w:val="left"/>
            </w:pPr>
            <w:r>
              <w:t xml:space="preserve">32.75</w:t>
            </w:r>
          </w:p>
        </w:tc>
        <w:tc>
          <w:tcPr/>
          <w:p>
            <w:pPr>
              <w:pStyle w:val="Compact"/>
              <w:jc w:val="left"/>
            </w:pPr>
            <w:r>
              <w:t xml:space="preserve">163,750.00</w:t>
            </w:r>
          </w:p>
        </w:tc>
      </w:tr>
      <w:tr>
        <w:tc>
          <w:tcPr/>
          <w:p>
            <w:pPr>
              <w:pStyle w:val="Compact"/>
              <w:jc w:val="left"/>
            </w:pPr>
            <w:r>
              <w:t xml:space="preserve">003</w:t>
            </w:r>
          </w:p>
        </w:tc>
        <w:tc>
          <w:tcPr/>
          <w:p>
            <w:pPr>
              <w:pStyle w:val="Compact"/>
              <w:jc w:val="left"/>
            </w:pPr>
            <w:r>
              <w:t xml:space="preserve">Amoxicillin 250mg/5ml Oral Suspension, 100ml – Chemist Grade</w:t>
            </w:r>
          </w:p>
        </w:tc>
        <w:tc>
          <w:tcPr/>
          <w:p>
            <w:pPr>
              <w:pStyle w:val="Compact"/>
              <w:jc w:val="left"/>
            </w:pPr>
            <w:r>
              <w:t xml:space="preserve">Pharmaceutical</w:t>
            </w:r>
          </w:p>
        </w:tc>
        <w:tc>
          <w:tcPr/>
          <w:p>
            <w:pPr>
              <w:pStyle w:val="Compact"/>
              <w:jc w:val="left"/>
            </w:pPr>
            <w:r>
              <w:t xml:space="preserve">1,500</w:t>
            </w:r>
          </w:p>
        </w:tc>
        <w:tc>
          <w:tcPr/>
          <w:p>
            <w:pPr>
              <w:pStyle w:val="Compact"/>
              <w:jc w:val="left"/>
            </w:pPr>
            <w:r>
              <w:t xml:space="preserve">Bottles</w:t>
            </w:r>
          </w:p>
        </w:tc>
        <w:tc>
          <w:tcPr/>
          <w:p>
            <w:pPr>
              <w:pStyle w:val="Compact"/>
              <w:jc w:val="left"/>
            </w:pPr>
            <w:r>
              <w:t xml:space="preserve">89.00</w:t>
            </w:r>
          </w:p>
        </w:tc>
        <w:tc>
          <w:tcPr/>
          <w:p>
            <w:pPr>
              <w:pStyle w:val="Compact"/>
              <w:jc w:val="left"/>
            </w:pPr>
            <w:r>
              <w:t xml:space="preserve">133,500.00</w:t>
            </w:r>
          </w:p>
        </w:tc>
      </w:tr>
      <w:tr>
        <w:tc>
          <w:tcPr/>
          <w:p>
            <w:pPr>
              <w:pStyle w:val="Compact"/>
              <w:jc w:val="left"/>
            </w:pPr>
            <w:r>
              <w:t xml:space="preserve">004</w:t>
            </w:r>
          </w:p>
        </w:tc>
        <w:tc>
          <w:tcPr/>
          <w:p>
            <w:pPr>
              <w:pStyle w:val="Compact"/>
              <w:jc w:val="left"/>
            </w:pPr>
            <w:r>
              <w:t xml:space="preserve">Nitrile Examination Gloves, Medium, Box of 100 – Chemist Supply</w:t>
            </w:r>
          </w:p>
        </w:tc>
        <w:tc>
          <w:tcPr/>
          <w:p>
            <w:pPr>
              <w:pStyle w:val="Compact"/>
              <w:jc w:val="left"/>
            </w:pPr>
            <w:r>
              <w:t xml:space="preserve">Medical Consumable</w:t>
            </w:r>
          </w:p>
        </w:tc>
        <w:tc>
          <w:tcPr/>
          <w:p>
            <w:pPr>
              <w:pStyle w:val="Compact"/>
              <w:jc w:val="left"/>
            </w:pPr>
            <w:r>
              <w:t xml:space="preserve">3,000</w:t>
            </w:r>
          </w:p>
        </w:tc>
        <w:tc>
          <w:tcPr/>
          <w:p>
            <w:pPr>
              <w:pStyle w:val="Compact"/>
              <w:jc w:val="left"/>
            </w:pPr>
            <w:r>
              <w:t xml:space="preserve">Boxes</w:t>
            </w:r>
          </w:p>
        </w:tc>
        <w:tc>
          <w:tcPr/>
          <w:p>
            <w:pPr>
              <w:pStyle w:val="Compact"/>
              <w:jc w:val="left"/>
            </w:pPr>
            <w:r>
              <w:t xml:space="preserve">125.00</w:t>
            </w:r>
          </w:p>
        </w:tc>
        <w:tc>
          <w:tcPr/>
          <w:p>
            <w:pPr>
              <w:pStyle w:val="Compact"/>
              <w:jc w:val="left"/>
            </w:pPr>
            <w:r>
              <w:t xml:space="preserve">375,000.00</w:t>
            </w:r>
          </w:p>
        </w:tc>
      </w:tr>
      <w:tr>
        <w:tc>
          <w:tcPr/>
          <w:p>
            <w:pPr>
              <w:pStyle w:val="Compact"/>
              <w:jc w:val="left"/>
            </w:pPr>
            <w:r>
              <w:t xml:space="preserve">005</w:t>
            </w:r>
          </w:p>
        </w:tc>
        <w:tc>
          <w:tcPr/>
          <w:p>
            <w:pPr>
              <w:pStyle w:val="Compact"/>
              <w:jc w:val="left"/>
            </w:pPr>
            <w:r>
              <w:t xml:space="preserve">70% Isopropyl Alcohol Disinfectant, 1L – Chemist Grade</w:t>
            </w:r>
          </w:p>
        </w:tc>
        <w:tc>
          <w:tcPr/>
          <w:p>
            <w:pPr>
              <w:pStyle w:val="Compact"/>
              <w:jc w:val="left"/>
            </w:pPr>
            <w:r>
              <w:t xml:space="preserve">Sanitization</w:t>
            </w:r>
          </w:p>
        </w:tc>
        <w:tc>
          <w:tcPr/>
          <w:p>
            <w:pPr>
              <w:pStyle w:val="Compact"/>
              <w:jc w:val="left"/>
            </w:pPr>
            <w:r>
              <w:t xml:space="preserve">1,200</w:t>
            </w:r>
          </w:p>
        </w:tc>
        <w:tc>
          <w:tcPr/>
          <w:p>
            <w:pPr>
              <w:pStyle w:val="Compact"/>
              <w:jc w:val="left"/>
            </w:pPr>
            <w:r>
              <w:t xml:space="preserve">Bottles</w:t>
            </w:r>
          </w:p>
        </w:tc>
        <w:tc>
          <w:tcPr/>
          <w:p>
            <w:pPr>
              <w:pStyle w:val="Compact"/>
              <w:jc w:val="left"/>
            </w:pPr>
            <w:r>
              <w:t xml:space="preserve">67.25</w:t>
            </w:r>
          </w:p>
        </w:tc>
        <w:tc>
          <w:tcPr/>
          <w:p>
            <w:pPr>
              <w:pStyle w:val="Compact"/>
              <w:jc w:val="left"/>
            </w:pPr>
            <w:r>
              <w:t xml:space="preserve">80,700.00</w:t>
            </w:r>
          </w:p>
        </w:tc>
      </w:tr>
      <w:tr>
        <w:tc>
          <w:tcPr/>
          <w:p>
            <w:pPr>
              <w:pStyle w:val="Compact"/>
              <w:jc w:val="left"/>
            </w:pPr>
            <w:r>
              <w:t xml:space="preserve">006</w:t>
            </w:r>
          </w:p>
        </w:tc>
        <w:tc>
          <w:tcPr/>
          <w:p>
            <w:pPr>
              <w:pStyle w:val="Compact"/>
              <w:jc w:val="left"/>
            </w:pPr>
            <w:r>
              <w:t xml:space="preserve">Digital Thermometer, Clinical Grade – Chemist Equipment</w:t>
            </w:r>
          </w:p>
        </w:tc>
        <w:tc>
          <w:tcPr/>
          <w:p>
            <w:pPr>
              <w:pStyle w:val="Compact"/>
              <w:jc w:val="left"/>
            </w:pPr>
            <w:r>
              <w:t xml:space="preserve">Equipment</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310.00</w:t>
            </w:r>
          </w:p>
        </w:tc>
        <w:tc>
          <w:tcPr/>
          <w:p>
            <w:pPr>
              <w:pStyle w:val="Compact"/>
              <w:jc w:val="left"/>
            </w:pPr>
            <w:r>
              <w:t xml:space="preserve">155,000.00</w:t>
            </w:r>
          </w:p>
        </w:tc>
      </w:tr>
      <w:tr>
        <w:tc>
          <w:tcPr/>
          <w:p>
            <w:pPr>
              <w:pStyle w:val="Compact"/>
              <w:jc w:val="left"/>
            </w:pPr>
            <w:r>
              <w:t xml:space="preserve">007</w:t>
            </w:r>
          </w:p>
        </w:tc>
        <w:tc>
          <w:tcPr/>
          <w:p>
            <w:pPr>
              <w:pStyle w:val="Compact"/>
              <w:jc w:val="left"/>
            </w:pPr>
            <w:r>
              <w:t xml:space="preserve">Hypodermic Syringes 5ml, Luer Lock, Sterile – Chemist Grade</w:t>
            </w:r>
          </w:p>
        </w:tc>
        <w:tc>
          <w:tcPr/>
          <w:p>
            <w:pPr>
              <w:pStyle w:val="Compact"/>
              <w:jc w:val="left"/>
            </w:pPr>
            <w:r>
              <w:t xml:space="preserve">Medical Consumable</w:t>
            </w:r>
          </w:p>
        </w:tc>
        <w:tc>
          <w:tcPr/>
          <w:p>
            <w:pPr>
              <w:pStyle w:val="Compact"/>
              <w:jc w:val="left"/>
            </w:pPr>
            <w:r>
              <w:t xml:space="preserve">10,000</w:t>
            </w:r>
          </w:p>
        </w:tc>
        <w:tc>
          <w:tcPr/>
          <w:p>
            <w:pPr>
              <w:pStyle w:val="Compact"/>
              <w:jc w:val="left"/>
            </w:pPr>
            <w:r>
              <w:t xml:space="preserve">Units</w:t>
            </w:r>
          </w:p>
        </w:tc>
        <w:tc>
          <w:tcPr/>
          <w:p>
            <w:pPr>
              <w:pStyle w:val="Compact"/>
              <w:jc w:val="left"/>
            </w:pPr>
            <w:r>
              <w:t xml:space="preserve">8.40</w:t>
            </w:r>
          </w:p>
        </w:tc>
        <w:tc>
          <w:tcPr/>
          <w:p>
            <w:pPr>
              <w:pStyle w:val="Compact"/>
              <w:jc w:val="left"/>
            </w:pPr>
            <w:r>
              <w:t xml:space="preserve">84,000.00</w:t>
            </w:r>
          </w:p>
        </w:tc>
      </w:tr>
      <w:tr>
        <w:tc>
          <w:tcPr/>
          <w:p>
            <w:pPr>
              <w:pStyle w:val="Compact"/>
              <w:jc w:val="left"/>
            </w:pPr>
            <w:r>
              <w:t xml:space="preserve">008</w:t>
            </w:r>
          </w:p>
        </w:tc>
        <w:tc>
          <w:tcPr/>
          <w:p>
            <w:pPr>
              <w:pStyle w:val="Compact"/>
              <w:jc w:val="left"/>
            </w:pPr>
            <w:r>
              <w:t xml:space="preserve">Wound Dressing Kit, Standard – Chemist First Aid</w:t>
            </w:r>
          </w:p>
        </w:tc>
        <w:tc>
          <w:tcPr/>
          <w:p>
            <w:pPr>
              <w:pStyle w:val="Compact"/>
              <w:jc w:val="left"/>
            </w:pPr>
            <w:r>
              <w:t xml:space="preserve">First Aid</w:t>
            </w:r>
          </w:p>
        </w:tc>
        <w:tc>
          <w:tcPr/>
          <w:p>
            <w:pPr>
              <w:pStyle w:val="Compact"/>
              <w:jc w:val="left"/>
            </w:pPr>
            <w:r>
              <w:t xml:space="preserve">800</w:t>
            </w:r>
          </w:p>
        </w:tc>
        <w:tc>
          <w:tcPr/>
          <w:p>
            <w:pPr>
              <w:pStyle w:val="Compact"/>
              <w:jc w:val="left"/>
            </w:pPr>
            <w:r>
              <w:t xml:space="preserve">Kits</w:t>
            </w:r>
          </w:p>
        </w:tc>
        <w:tc>
          <w:tcPr/>
          <w:p>
            <w:pPr>
              <w:pStyle w:val="Compact"/>
              <w:jc w:val="left"/>
            </w:pPr>
            <w:r>
              <w:t xml:space="preserve">145.00</w:t>
            </w:r>
          </w:p>
        </w:tc>
        <w:tc>
          <w:tcPr/>
          <w:p>
            <w:pPr>
              <w:pStyle w:val="Compact"/>
              <w:jc w:val="left"/>
            </w:pPr>
            <w:r>
              <w:t xml:space="preserve">116,000.00</w:t>
            </w:r>
          </w:p>
        </w:tc>
      </w:tr>
      <w:tr>
        <w:tc>
          <w:tcPr>
            <w:gridSpan w:val="6"/>
          </w:tcPr>
          <w:p>
            <w:pPr>
              <w:pStyle w:val="Compact"/>
              <w:jc w:val="right"/>
            </w:pPr>
            <w:r>
              <w:t xml:space="preserve">SUBTOTAL</w:t>
            </w:r>
          </w:p>
        </w:tc>
        <w:tc>
          <w:tcPr/>
          <w:p>
            <w:pPr>
              <w:pStyle w:val="Compact"/>
              <w:jc w:val="left"/>
            </w:pPr>
            <w:r>
              <w:t xml:space="preserve">1,204,950.00</w:t>
            </w:r>
          </w:p>
        </w:tc>
      </w:tr>
      <w:tr>
        <w:tc>
          <w:tcPr>
            <w:gridSpan w:val="6"/>
          </w:tcPr>
          <w:p>
            <w:pPr>
              <w:pStyle w:val="Compact"/>
              <w:jc w:val="right"/>
            </w:pPr>
            <w:r>
              <w:t xml:space="preserve">VAT (KDV) 20%</w:t>
            </w:r>
          </w:p>
        </w:tc>
        <w:tc>
          <w:tcPr/>
          <w:p>
            <w:pPr>
              <w:pStyle w:val="Compact"/>
              <w:jc w:val="left"/>
            </w:pPr>
            <w:r>
              <w:t xml:space="preserve">240,990.00</w:t>
            </w:r>
          </w:p>
        </w:tc>
      </w:tr>
      <w:tr>
        <w:tc>
          <w:tcPr>
            <w:gridSpan w:val="6"/>
          </w:tcPr>
          <w:p>
            <w:pPr>
              <w:pStyle w:val="Compact"/>
              <w:jc w:val="right"/>
            </w:pPr>
            <w:r>
              <w:t xml:space="preserve">DELIVERY FEE (Ankara Metro Area)</w:t>
            </w:r>
          </w:p>
        </w:tc>
        <w:tc>
          <w:tcPr/>
          <w:p>
            <w:pPr>
              <w:pStyle w:val="Compact"/>
              <w:jc w:val="left"/>
            </w:pPr>
            <w:r>
              <w:t xml:space="preserve">12,500.00</w:t>
            </w:r>
          </w:p>
        </w:tc>
      </w:tr>
      <w:tr>
        <w:tc>
          <w:tcPr>
            <w:gridSpan w:val="6"/>
          </w:tcPr>
          <w:p>
            <w:pPr>
              <w:pStyle w:val="Compact"/>
              <w:jc w:val="right"/>
            </w:pPr>
            <w:r>
              <w:t xml:space="preserve">GRAND TOTAL (TRY)</w:t>
            </w:r>
          </w:p>
        </w:tc>
        <w:tc>
          <w:tcPr/>
          <w:p>
            <w:pPr>
              <w:pStyle w:val="Compact"/>
              <w:jc w:val="left"/>
            </w:pPr>
            <w:r>
              <w:t xml:space="preserve">1,458,440.00</w:t>
            </w:r>
          </w:p>
        </w:tc>
      </w:tr>
    </w:tbl>
    <w:p>
      <w:pPr>
        <w:pStyle w:val="BodyText"/>
      </w:pPr>
      <w:r>
        <w:t xml:space="preserve">4. Terms and Conditions</w:t>
      </w:r>
    </w:p>
    <w:p>
      <w:pPr>
        <w:numPr>
          <w:ilvl w:val="0"/>
          <w:numId w:val="1001"/>
        </w:numPr>
        <w:pStyle w:val="Compact"/>
      </w:pPr>
      <w:r>
        <w:rPr>
          <w:bCs/>
          <w:b/>
        </w:rPr>
        <w:t xml:space="preserve">Payment Terms:</w:t>
      </w:r>
      <w:r>
        <w:t xml:space="preserve"> </w:t>
      </w:r>
      <w:r>
        <w:t xml:space="preserve">Payment shall be made within thirty (30) calendar days from the date of invoice issuance via bank transfer to the supplier's designated account in Turkey. Late payments shall incur a penalty of 1.5% per month as per Turkish commercial law (Türk Ticaret Kanunu).</w:t>
      </w:r>
    </w:p>
    <w:p>
      <w:pPr>
        <w:numPr>
          <w:ilvl w:val="0"/>
          <w:numId w:val="1001"/>
        </w:numPr>
        <w:pStyle w:val="Compact"/>
      </w:pPr>
      <w:r>
        <w:rPr>
          <w:bCs/>
          <w:b/>
        </w:rPr>
        <w:t xml:space="preserve">Delivery Terms:</w:t>
      </w:r>
      <w:r>
        <w:t xml:space="preserve"> </w:t>
      </w:r>
      <w:r>
        <w:t xml:space="preserve">All goods listed in this Purchase Order shall be delivered to the receiving address in Turkey Ankara (Çankaya district) within fifteen (15) business days from the date of this Purchase Order confirmation. Delivery shall be made in accordance with Incoterms 2020 – DAP (Delivered at Place).</w:t>
      </w:r>
    </w:p>
    <w:p>
      <w:pPr>
        <w:numPr>
          <w:ilvl w:val="0"/>
          <w:numId w:val="1001"/>
        </w:numPr>
        <w:pStyle w:val="Compact"/>
      </w:pPr>
      <w:r>
        <w:rPr>
          <w:bCs/>
          <w:b/>
        </w:rPr>
        <w:t xml:space="preserve">Quality Assurance:</w:t>
      </w:r>
      <w:r>
        <w:t xml:space="preserve"> </w:t>
      </w:r>
      <w:r>
        <w:t xml:space="preserve">All chemist products must comply with the regulations set forth by the Turkish Medicines and Medical Devices Agency (TİTCK – Türkiye İlaç ve Tıbbi Cihaz Kurumu). Each batch must be accompanied by a Certificate of Analysis (CoA) and a valid batch/lot number. The supplier warrants that all chemist-grade pharmaceuticals are manufactured under Good Manufacturing Practice (GMP) standards.</w:t>
      </w:r>
    </w:p>
    <w:p>
      <w:pPr>
        <w:numPr>
          <w:ilvl w:val="0"/>
          <w:numId w:val="1001"/>
        </w:numPr>
        <w:pStyle w:val="Compact"/>
      </w:pPr>
      <w:r>
        <w:rPr>
          <w:bCs/>
          <w:b/>
        </w:rPr>
        <w:t xml:space="preserve">Storage and Handling:</w:t>
      </w:r>
      <w:r>
        <w:t xml:space="preserve"> </w:t>
      </w:r>
      <w:r>
        <w:t xml:space="preserve">The supplier is responsible for ensuring that all temperature-sensitive chemist products are transported in validated cold-chain packaging. Upon arrival in Turkey Ankara, the buyer's receiving team will inspect all items within forty-eight (48) hours. Any discrepancies must be reported in writing to the supplier within this period.</w:t>
      </w:r>
    </w:p>
    <w:p>
      <w:pPr>
        <w:numPr>
          <w:ilvl w:val="0"/>
          <w:numId w:val="1001"/>
        </w:numPr>
        <w:pStyle w:val="Compact"/>
      </w:pPr>
      <w:r>
        <w:rPr>
          <w:bCs/>
          <w:b/>
        </w:rPr>
        <w:t xml:space="preserve">Warranty:</w:t>
      </w:r>
      <w:r>
        <w:t xml:space="preserve"> </w:t>
      </w:r>
      <w:r>
        <w:t xml:space="preserve">All equipment items (e.g., digital thermometers) carry a minimum twelve (12) month manufacturer warranty. Pharmaceutical products must have a minimum remaining shelf life of eighteen (18) months at the time of delivery to the chemist distribution center in Ankara.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or supply chain disruptions affecting the Turkey Ankara region.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 Any disputes arising from this Purchase Order shall be resolved by the competent courts in Ankara, Turkey.</w:t>
      </w:r>
    </w:p>
    <w:p>
      <w:pPr>
        <w:numPr>
          <w:ilvl w:val="0"/>
          <w:numId w:val="1001"/>
        </w:numPr>
        <w:pStyle w:val="Compact"/>
      </w:pPr>
      <w:r>
        <w:rPr>
          <w:bCs/>
          <w:b/>
        </w:rPr>
        <w:t xml:space="preserve">Confidentiality:</w:t>
      </w:r>
      <w:r>
        <w:t xml:space="preserve"> </w:t>
      </w:r>
      <w:r>
        <w:t xml:space="preserve">Both parties agree to maintain the confidentiality of all commercial terms, pricing, and product specifications contained within this Purchase Order and any related chemist supply agreements.</w:t>
      </w:r>
    </w:p>
    <w:p>
      <w:pPr>
        <w:pStyle w:val="FirstParagraph"/>
      </w:pPr>
      <w:r>
        <w:t xml:space="preserve">5. Delivery and Logistics Notes</w:t>
      </w:r>
    </w:p>
    <w:p>
      <w:pPr>
        <w:pStyle w:val="BodyText"/>
      </w:pPr>
      <w:r>
        <w:t xml:space="preserve">Delivery shall be made to the Ankara Chemist Supply Co. Ltd. warehouse located in the Çankaya district of Turkey Ankara. The delivery vehicle must be equipped with temperature monitoring devices for pharmaceutical cargo. The supplier must provide a Bill of Lading (B/L) and a customs declaration form (Gümrük Beyannamesi) if applicable. All deliveries within the Turkey Ankara metropolitan area are subject to municipal traffic regulations; the supplier is advised to schedule deliveries between 08:00 and 16:00 on weekdays to avoid restricted hours.</w:t>
      </w:r>
    </w:p>
    <w:p>
      <w:pPr>
        <w:pStyle w:val="BodyText"/>
      </w:pPr>
      <w:r>
        <w:t xml:space="preserve">6. Authorization and Signatures</w:t>
      </w:r>
    </w:p>
    <w:p>
      <w:pPr>
        <w:pStyle w:val="BodyText"/>
      </w:pPr>
      <w:r>
        <w:rPr>
          <w:bCs/>
          <w:b/>
        </w:rPr>
        <w:t xml:space="preserve">For and on behalf of the Buyer:</w:t>
      </w:r>
    </w:p>
    <w:p>
      <w:pPr>
        <w:pStyle w:val="BodyText"/>
      </w:pPr>
      <w:r>
        <w:t xml:space="preserve">Ankara Chemist Supply Co. Ltd.</w:t>
      </w:r>
    </w:p>
    <w:p>
      <w:pPr>
        <w:pStyle w:val="BodyText"/>
      </w:pPr>
      <w:r>
        <w:t xml:space="preserve">Mehmet Kaya</w:t>
      </w:r>
    </w:p>
    <w:p>
      <w:pPr>
        <w:pStyle w:val="BodyText"/>
      </w:pPr>
      <w:r>
        <w:t xml:space="preserve">Procurement Manager</w:t>
      </w:r>
    </w:p>
    <w:p>
      <w:pPr>
        <w:pStyle w:val="BodyText"/>
      </w:pPr>
      <w:r>
        <w:t xml:space="preserve">Date: _______________</w:t>
      </w:r>
    </w:p>
    <w:p>
      <w:pPr>
        <w:pStyle w:val="BodyText"/>
      </w:pPr>
      <w:r>
        <w:rPr>
          <w:bCs/>
          <w:b/>
        </w:rPr>
        <w:t xml:space="preserve">For and on behalf of the Supplier:</w:t>
      </w:r>
    </w:p>
    <w:p>
      <w:pPr>
        <w:pStyle w:val="BodyText"/>
      </w:pPr>
      <w:r>
        <w:t xml:space="preserve">MedChem Ankara Distribution A.Ş.</w:t>
      </w:r>
    </w:p>
    <w:p>
      <w:pPr>
        <w:pStyle w:val="BodyText"/>
      </w:pPr>
      <w:r>
        <w:t xml:space="preserve">Dr. Elif Yılmaz</w:t>
      </w:r>
    </w:p>
    <w:p>
      <w:pPr>
        <w:pStyle w:val="BodyText"/>
      </w:pPr>
      <w:r>
        <w:t xml:space="preserve">Head of Chemist Product Sales</w:t>
      </w:r>
    </w:p>
    <w:p>
      <w:pPr>
        <w:pStyle w:val="BodyText"/>
      </w:pPr>
      <w:r>
        <w:t xml:space="preserve">Date: _______________</w:t>
      </w:r>
    </w:p>
    <w:p>
      <w:pPr>
        <w:pStyle w:val="BodyText"/>
      </w:pPr>
      <w:r>
        <w:t xml:space="preserve">This Purchase Order (PO-ANK-2025-00487) is issued by Ankara Chemist Supply Co. Ltd. for the procurement of chemist-grade pharmaceutical and medical products in Turkey Ankara. This document constitutes a legally binding agreement upon signature by both parties. All references to "Turkey Ankara" in this document pertain to the metropolitan municipality of Ankara, Republic of Turkey. This Purchase Order is valid for a period of thirty (30) days from the date of issue.</w:t>
      </w:r>
    </w:p>
    <w:p>
      <w:pPr>
        <w:pStyle w:val="BodyText"/>
      </w:pPr>
      <w:r>
        <w:t xml:space="preserve">© 2025 Ankara Chemist Supply Co. Ltd. – All Rights Reserved. | Document Ref: PO-ANK-2025-00487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Turkey Ankara</dc:title>
  <dc:creator/>
  <dc:language>en</dc:language>
  <cp:keywords/>
  <dcterms:created xsi:type="dcterms:W3CDTF">2026-10-10T06:56:50Z</dcterms:created>
  <dcterms:modified xsi:type="dcterms:W3CDTF">2026-10-10T06:56:50Z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