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Noor Pharmacy &amp; Chemist Supplies LLC</w:t>
      </w:r>
    </w:p>
    <w:p>
      <w:pPr>
        <w:pStyle w:val="BodyText"/>
      </w:pPr>
      <w:r>
        <w:t xml:space="preserve">Office 412, Level 4, Dubai Healthcare City, United Arab Emirates Dubai</w:t>
      </w:r>
    </w:p>
    <w:p>
      <w:pPr>
        <w:pStyle w:val="BodyText"/>
      </w:pPr>
      <w:r>
        <w:t xml:space="preserve">Tel: +971 4 555 0192 | Email: procurement@alnoorchemist.ae</w:t>
      </w:r>
    </w:p>
    <w:p>
      <w:pPr>
        <w:pStyle w:val="BodyText"/>
      </w:pPr>
      <w:r>
        <w:t xml:space="preserve">Trade License No: 1048293 | TRN: 100234567800003</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 / Chemist Vendor:</w:t>
      </w:r>
      <w:r>
        <w:t xml:space="preserve"> </w:t>
      </w:r>
      <w:r>
        <w:t xml:space="preserve">Gulf Pharma Distribution FZE</w:t>
      </w:r>
    </w:p>
    <w:p>
      <w:pPr>
        <w:pStyle w:val="BodyText"/>
      </w:pPr>
      <w:r>
        <w:rPr>
          <w:bCs/>
          <w:b/>
        </w:rPr>
        <w:t xml:space="preserve">Supplier Address:</w:t>
      </w:r>
      <w:r>
        <w:t xml:space="preserve"> </w:t>
      </w:r>
      <w:r>
        <w:t xml:space="preserve">Jebel Ali Free Zone, Plot 78, United Arab Emirates Dubai</w:t>
      </w:r>
    </w:p>
    <w:p>
      <w:pPr>
        <w:pStyle w:val="BodyText"/>
      </w:pPr>
      <w:r>
        <w:rPr>
          <w:bCs/>
          <w:b/>
        </w:rPr>
        <w:t xml:space="preserve">Supplier Contact:</w:t>
      </w:r>
      <w:r>
        <w:t xml:space="preserve"> </w:t>
      </w:r>
      <w:r>
        <w:t xml:space="preserve">sales@gulfpharma.ae | +971 4 888 3321</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Dubai</w:t>
      </w:r>
    </w:p>
    <w:p>
      <w:pPr>
        <w:pStyle w:val="BodyText"/>
      </w:pPr>
      <w:r>
        <w:rPr>
          <w:bCs/>
          <w:b/>
        </w:rPr>
        <w:t xml:space="preserve">Currency:</w:t>
      </w:r>
      <w:r>
        <w:t xml:space="preserve"> </w:t>
      </w:r>
      <w:r>
        <w:t xml:space="preserve">AED (United Arab Emirates Dirham)</w:t>
      </w:r>
    </w:p>
    <w:p>
      <w:pPr>
        <w:pStyle w:val="BodyText"/>
      </w:pPr>
      <w:r>
        <w:t xml:space="preserve">Line Items – Chemist Products and Pharmaceutical Supplies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Ref</w:t>
            </w:r>
          </w:p>
        </w:tc>
        <w:tc>
          <w:tcPr/>
          <w:p>
            <w:pPr>
              <w:pStyle w:val="Compact"/>
              <w:jc w:val="left"/>
            </w:pPr>
            <w:r>
              <w:t xml:space="preserve">Description of Goods / Chemist Product</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MOHAP Reg. No.</w:t>
            </w:r>
          </w:p>
        </w:tc>
      </w:tr>
      <w:tr>
        <w:tc>
          <w:tcPr/>
          <w:p>
            <w:pPr>
              <w:pStyle w:val="Compact"/>
              <w:jc w:val="left"/>
            </w:pPr>
            <w:r>
              <w:t xml:space="preserve">01</w:t>
            </w:r>
          </w:p>
        </w:tc>
        <w:tc>
          <w:tcPr/>
          <w:p>
            <w:pPr>
              <w:pStyle w:val="Compact"/>
              <w:jc w:val="left"/>
            </w:pPr>
            <w:r>
              <w:t xml:space="preserve">Amoxicillin 500mg Capsules – 24 caps/box (Antibiotic, Chemist dispensing stock)</w:t>
            </w:r>
          </w:p>
        </w:tc>
        <w:tc>
          <w:tcPr/>
          <w:p>
            <w:pPr>
              <w:pStyle w:val="Compact"/>
              <w:jc w:val="left"/>
            </w:pPr>
            <w:r>
              <w:t xml:space="preserve">3004.90</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9,250.00</w:t>
            </w:r>
          </w:p>
        </w:tc>
        <w:tc>
          <w:tcPr/>
          <w:p>
            <w:pPr>
              <w:pStyle w:val="Compact"/>
              <w:jc w:val="left"/>
            </w:pPr>
            <w:r>
              <w:t xml:space="preserve">MOHAP-2024-1182</w:t>
            </w:r>
          </w:p>
        </w:tc>
      </w:tr>
      <w:tr>
        <w:tc>
          <w:tcPr/>
          <w:p>
            <w:pPr>
              <w:pStyle w:val="Compact"/>
              <w:jc w:val="left"/>
            </w:pPr>
            <w:r>
              <w:t xml:space="preserve">02</w:t>
            </w:r>
          </w:p>
        </w:tc>
        <w:tc>
          <w:tcPr/>
          <w:p>
            <w:pPr>
              <w:pStyle w:val="Compact"/>
              <w:jc w:val="left"/>
            </w:pPr>
            <w:r>
              <w:t xml:space="preserve">Ibuprofen 400mg Tablets – 20 tabs/box (Analgesic, Chemist OTC supply)</w:t>
            </w:r>
          </w:p>
        </w:tc>
        <w:tc>
          <w:tcPr/>
          <w:p>
            <w:pPr>
              <w:pStyle w:val="Compact"/>
              <w:jc w:val="left"/>
            </w:pPr>
            <w:r>
              <w:t xml:space="preserve">3004.90</w:t>
            </w:r>
          </w:p>
        </w:tc>
        <w:tc>
          <w:tcPr/>
          <w:p>
            <w:pPr>
              <w:pStyle w:val="Compact"/>
              <w:jc w:val="left"/>
            </w:pPr>
            <w:r>
              <w:t xml:space="preserve">800</w:t>
            </w:r>
          </w:p>
        </w:tc>
        <w:tc>
          <w:tcPr/>
          <w:p>
            <w:pPr>
              <w:pStyle w:val="Compact"/>
              <w:jc w:val="left"/>
            </w:pPr>
            <w:r>
              <w:t xml:space="preserve">Boxes</w:t>
            </w:r>
          </w:p>
        </w:tc>
        <w:tc>
          <w:tcPr/>
          <w:p>
            <w:pPr>
              <w:pStyle w:val="Compact"/>
              <w:jc w:val="left"/>
            </w:pPr>
            <w:r>
              <w:t xml:space="preserve">9.75</w:t>
            </w:r>
          </w:p>
        </w:tc>
        <w:tc>
          <w:tcPr/>
          <w:p>
            <w:pPr>
              <w:pStyle w:val="Compact"/>
              <w:jc w:val="left"/>
            </w:pPr>
            <w:r>
              <w:t xml:space="preserve">7,800.00</w:t>
            </w:r>
          </w:p>
        </w:tc>
        <w:tc>
          <w:tcPr/>
          <w:p>
            <w:pPr>
              <w:pStyle w:val="Compact"/>
              <w:jc w:val="left"/>
            </w:pPr>
            <w:r>
              <w:t xml:space="preserve">MOHAP-2024-0947</w:t>
            </w:r>
          </w:p>
        </w:tc>
      </w:tr>
      <w:tr>
        <w:tc>
          <w:tcPr/>
          <w:p>
            <w:pPr>
              <w:pStyle w:val="Compact"/>
              <w:jc w:val="left"/>
            </w:pPr>
            <w:r>
              <w:t xml:space="preserve">03</w:t>
            </w:r>
          </w:p>
        </w:tc>
        <w:tc>
          <w:tcPr/>
          <w:p>
            <w:pPr>
              <w:pStyle w:val="Compact"/>
              <w:jc w:val="left"/>
            </w:pPr>
            <w:r>
              <w:t xml:space="preserve">Metformin HCl 850mg Tablets – 30 tabs/box (Antidiabetic, Chemist prescription stock)</w:t>
            </w:r>
          </w:p>
        </w:tc>
        <w:tc>
          <w:tcPr/>
          <w:p>
            <w:pPr>
              <w:pStyle w:val="Compact"/>
              <w:jc w:val="left"/>
            </w:pPr>
            <w:r>
              <w:t xml:space="preserve">3004.90</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22.00</w:t>
            </w:r>
          </w:p>
        </w:tc>
        <w:tc>
          <w:tcPr/>
          <w:p>
            <w:pPr>
              <w:pStyle w:val="Compact"/>
              <w:jc w:val="left"/>
            </w:pPr>
            <w:r>
              <w:t xml:space="preserve">8,800.00</w:t>
            </w:r>
          </w:p>
        </w:tc>
        <w:tc>
          <w:tcPr/>
          <w:p>
            <w:pPr>
              <w:pStyle w:val="Compact"/>
              <w:jc w:val="left"/>
            </w:pPr>
            <w:r>
              <w:t xml:space="preserve">MOHAP-2024-2231</w:t>
            </w:r>
          </w:p>
        </w:tc>
      </w:tr>
      <w:tr>
        <w:tc>
          <w:tcPr/>
          <w:p>
            <w:pPr>
              <w:pStyle w:val="Compact"/>
              <w:jc w:val="left"/>
            </w:pPr>
            <w:r>
              <w:t xml:space="preserve">04</w:t>
            </w:r>
          </w:p>
        </w:tc>
        <w:tc>
          <w:tcPr/>
          <w:p>
            <w:pPr>
              <w:pStyle w:val="Compact"/>
              <w:jc w:val="left"/>
            </w:pPr>
            <w:r>
              <w:t xml:space="preserve">Salbutamol Inhaler 100mcg – 200 doses (Bronchodilator, Chemist respiratory line)</w:t>
            </w:r>
          </w:p>
        </w:tc>
        <w:tc>
          <w:tcPr/>
          <w:p>
            <w:pPr>
              <w:pStyle w:val="Compact"/>
              <w:jc w:val="left"/>
            </w:pPr>
            <w:r>
              <w:t xml:space="preserve">3004.90</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34.50</w:t>
            </w:r>
          </w:p>
        </w:tc>
        <w:tc>
          <w:tcPr/>
          <w:p>
            <w:pPr>
              <w:pStyle w:val="Compact"/>
              <w:jc w:val="left"/>
            </w:pPr>
            <w:r>
              <w:t xml:space="preserve">10,350.00</w:t>
            </w:r>
          </w:p>
        </w:tc>
        <w:tc>
          <w:tcPr/>
          <w:p>
            <w:pPr>
              <w:pStyle w:val="Compact"/>
              <w:jc w:val="left"/>
            </w:pPr>
            <w:r>
              <w:t xml:space="preserve">MOHAP-2024-3310</w:t>
            </w:r>
          </w:p>
        </w:tc>
      </w:tr>
      <w:tr>
        <w:tc>
          <w:tcPr/>
          <w:p>
            <w:pPr>
              <w:pStyle w:val="Compact"/>
              <w:jc w:val="left"/>
            </w:pPr>
            <w:r>
              <w:t xml:space="preserve">05</w:t>
            </w:r>
          </w:p>
        </w:tc>
        <w:tc>
          <w:tcPr/>
          <w:p>
            <w:pPr>
              <w:pStyle w:val="Compact"/>
              <w:jc w:val="left"/>
            </w:pPr>
            <w:r>
              <w:t xml:space="preserve">Normal Saline 0.9% IV Bags 500ml (Chemist sterile solution supply)</w:t>
            </w:r>
          </w:p>
        </w:tc>
        <w:tc>
          <w:tcPr/>
          <w:p>
            <w:pPr>
              <w:pStyle w:val="Compact"/>
              <w:jc w:val="left"/>
            </w:pPr>
            <w:r>
              <w:t xml:space="preserve">3004.90</w:t>
            </w:r>
          </w:p>
        </w:tc>
        <w:tc>
          <w:tcPr/>
          <w:p>
            <w:pPr>
              <w:pStyle w:val="Compact"/>
              <w:jc w:val="left"/>
            </w:pPr>
            <w:r>
              <w:t xml:space="preserve">600</w:t>
            </w:r>
          </w:p>
        </w:tc>
        <w:tc>
          <w:tcPr/>
          <w:p>
            <w:pPr>
              <w:pStyle w:val="Compact"/>
              <w:jc w:val="left"/>
            </w:pPr>
            <w:r>
              <w:t xml:space="preserve">Bags</w:t>
            </w:r>
          </w:p>
        </w:tc>
        <w:tc>
          <w:tcPr/>
          <w:p>
            <w:pPr>
              <w:pStyle w:val="Compact"/>
              <w:jc w:val="left"/>
            </w:pPr>
            <w:r>
              <w:t xml:space="preserve">6.25</w:t>
            </w:r>
          </w:p>
        </w:tc>
        <w:tc>
          <w:tcPr/>
          <w:p>
            <w:pPr>
              <w:pStyle w:val="Compact"/>
              <w:jc w:val="left"/>
            </w:pPr>
            <w:r>
              <w:t xml:space="preserve">3,750.00</w:t>
            </w:r>
          </w:p>
        </w:tc>
        <w:tc>
          <w:tcPr/>
          <w:p>
            <w:pPr>
              <w:pStyle w:val="Compact"/>
              <w:jc w:val="left"/>
            </w:pPr>
            <w:r>
              <w:t xml:space="preserve">MOHAP-2024-4456</w:t>
            </w:r>
          </w:p>
        </w:tc>
      </w:tr>
      <w:tr>
        <w:tc>
          <w:tcPr/>
          <w:p>
            <w:pPr>
              <w:pStyle w:val="Compact"/>
              <w:jc w:val="left"/>
            </w:pPr>
            <w:r>
              <w:t xml:space="preserve">06</w:t>
            </w:r>
          </w:p>
        </w:tc>
        <w:tc>
          <w:tcPr/>
          <w:p>
            <w:pPr>
              <w:pStyle w:val="Compact"/>
              <w:jc w:val="left"/>
            </w:pPr>
            <w:r>
              <w:t xml:space="preserve">Pharmaceutical Cold Chain Storage Unit – 200L (Chemist equipment, 2–8°C range)</w:t>
            </w:r>
          </w:p>
        </w:tc>
        <w:tc>
          <w:tcPr/>
          <w:p>
            <w:pPr>
              <w:pStyle w:val="Compact"/>
              <w:jc w:val="left"/>
            </w:pPr>
            <w:r>
              <w:t xml:space="preserve">8415.10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N/A</w:t>
            </w:r>
          </w:p>
        </w:tc>
      </w:tr>
      <w:tr>
        <w:tc>
          <w:tcPr/>
          <w:p>
            <w:pPr>
              <w:pStyle w:val="Compact"/>
              <w:jc w:val="left"/>
            </w:pPr>
            <w:r>
              <w:t xml:space="preserve">07</w:t>
            </w:r>
          </w:p>
        </w:tc>
        <w:tc>
          <w:tcPr/>
          <w:p>
            <w:pPr>
              <w:pStyle w:val="Compact"/>
              <w:jc w:val="left"/>
            </w:pPr>
            <w:r>
              <w:t xml:space="preserve">Pharmacy Label Printer with Thermal Roll (Chemist dispensing equipment)</w:t>
            </w:r>
          </w:p>
        </w:tc>
        <w:tc>
          <w:tcPr/>
          <w:p>
            <w:pPr>
              <w:pStyle w:val="Compact"/>
              <w:jc w:val="left"/>
            </w:pPr>
            <w:r>
              <w:t xml:space="preserve">8443.32</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8,550.00</w:t>
            </w:r>
          </w:p>
        </w:tc>
        <w:tc>
          <w:tcPr/>
          <w:p>
            <w:pPr>
              <w:pStyle w:val="Compact"/>
              <w:jc w:val="left"/>
            </w:pPr>
            <w:r>
              <w:t xml:space="preserve">N/A</w:t>
            </w:r>
          </w:p>
        </w:tc>
      </w:tr>
      <w:tr>
        <w:tc>
          <w:tcPr/>
          <w:p>
            <w:pPr>
              <w:pStyle w:val="Compact"/>
              <w:jc w:val="left"/>
            </w:pPr>
            <w:r>
              <w:t xml:space="preserve">08</w:t>
            </w:r>
          </w:p>
        </w:tc>
        <w:tc>
          <w:tcPr/>
          <w:p>
            <w:pPr>
              <w:pStyle w:val="Compact"/>
              <w:jc w:val="left"/>
            </w:pPr>
            <w:r>
              <w:t xml:space="preserve">Vitamin D3 50,000 IU Softgels – 4 caps/box (Chemist supplement line)</w:t>
            </w:r>
          </w:p>
        </w:tc>
        <w:tc>
          <w:tcPr/>
          <w:p>
            <w:pPr>
              <w:pStyle w:val="Compact"/>
              <w:jc w:val="left"/>
            </w:pPr>
            <w:r>
              <w:t xml:space="preserve">3004.90</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14.00</w:t>
            </w:r>
          </w:p>
        </w:tc>
        <w:tc>
          <w:tcPr/>
          <w:p>
            <w:pPr>
              <w:pStyle w:val="Compact"/>
              <w:jc w:val="left"/>
            </w:pPr>
            <w:r>
              <w:t xml:space="preserve">4,900.00</w:t>
            </w:r>
          </w:p>
        </w:tc>
        <w:tc>
          <w:tcPr/>
          <w:p>
            <w:pPr>
              <w:pStyle w:val="Compact"/>
              <w:jc w:val="left"/>
            </w:pPr>
            <w:r>
              <w:t xml:space="preserve">MOHAP-2024-5578</w:t>
            </w:r>
          </w:p>
        </w:tc>
      </w:tr>
    </w:tbl>
    <w:p>
      <w:pPr>
        <w:pStyle w:val="BodyText"/>
      </w:pPr>
      <w:r>
        <w:t xml:space="preserve">Subtotal: AED 78,400.00</w:t>
      </w:r>
    </w:p>
    <w:p>
      <w:pPr>
        <w:pStyle w:val="BodyText"/>
      </w:pPr>
      <w:r>
        <w:t xml:space="preserve">VAT (5% – United Arab Emirates Dubai standard rate): AED 3,920.00</w:t>
      </w:r>
    </w:p>
    <w:p>
      <w:pPr>
        <w:pStyle w:val="BodyText"/>
      </w:pPr>
      <w:r>
        <w:t xml:space="preserve">Grand Total: AED 82,320.00</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is issued by Al Noor Pharmacy &amp; Chemist Supplies LLC, a licensed Chemist operating in United Arab Emirates Dubai, and constitutes a binding procurement request. The supplier, Gulf Pharma Distribution FZE, must confirm acceptance in writing within five (5) business days of the date of issue.</w:t>
      </w:r>
    </w:p>
    <w:p>
      <w:pPr>
        <w:numPr>
          <w:ilvl w:val="0"/>
          <w:numId w:val="1001"/>
        </w:numPr>
        <w:pStyle w:val="Compact"/>
      </w:pPr>
      <w:r>
        <w:rPr>
          <w:bCs/>
          <w:b/>
        </w:rPr>
        <w:t xml:space="preserve">Regulatory Compliance:</w:t>
      </w:r>
      <w:r>
        <w:t xml:space="preserve"> </w:t>
      </w:r>
      <w:r>
        <w:t xml:space="preserve">All pharmaceutical products listed in this Purchase Order must be registered with the Ministry of Health and Prevention (MOHAP) of the United Arab Emirates and comply with the Dubai Health Authority (DHA) regulations governing the import, storage, and distribution of medicines within United Arab Emirates Dubai. The Chemist vendor shall provide valid MOHAP registration certificates and batch-specific CoA (Certificate of Analysis) for every shipment.</w:t>
      </w:r>
    </w:p>
    <w:p>
      <w:pPr>
        <w:numPr>
          <w:ilvl w:val="0"/>
          <w:numId w:val="1001"/>
        </w:numPr>
        <w:pStyle w:val="Compact"/>
      </w:pPr>
      <w:r>
        <w:rPr>
          <w:bCs/>
          <w:b/>
        </w:rPr>
        <w:t xml:space="preserve">Delivery:</w:t>
      </w:r>
      <w:r>
        <w:t xml:space="preserve"> </w:t>
      </w:r>
      <w:r>
        <w:t xml:space="preserve">Goods shall be delivered DDP (Delivered Duty Paid) to the Chemist premises at Dubai Healthcare City, United Arab Emirates Dubai, no later than 28 June 2025. The supplier bears all transportation, customs clearance, and duty costs within the United Arab Emirates Dubai jurisdiction.</w:t>
      </w:r>
    </w:p>
    <w:p>
      <w:pPr>
        <w:numPr>
          <w:ilvl w:val="0"/>
          <w:numId w:val="1001"/>
        </w:numPr>
        <w:pStyle w:val="Compact"/>
      </w:pPr>
      <w:r>
        <w:rPr>
          <w:bCs/>
          <w:b/>
        </w:rPr>
        <w:t xml:space="preserve">Quality Assurance:</w:t>
      </w:r>
      <w:r>
        <w:t xml:space="preserve"> </w:t>
      </w:r>
      <w:r>
        <w:t xml:space="preserve">The Chemist buyer reserves the right to inspect all goods upon receipt. Any product found to be expired, damaged, improperly stored, or not conforming to the specifications stated in this Purchase Order shall be rejected at the supplier's cost. Cold chain products must be delivered with continuous temperature loggers showing compliance with the 2–8°C requirement throughout transit in United Arab Emirates Dubai.</w:t>
      </w:r>
    </w:p>
    <w:p>
      <w:pPr>
        <w:numPr>
          <w:ilvl w:val="0"/>
          <w:numId w:val="1001"/>
        </w:numPr>
        <w:pStyle w:val="Compact"/>
      </w:pPr>
      <w:r>
        <w:rPr>
          <w:bCs/>
          <w:b/>
        </w:rPr>
        <w:t xml:space="preserve">Payment:</w:t>
      </w:r>
      <w:r>
        <w:t xml:space="preserve"> </w:t>
      </w:r>
      <w:r>
        <w:t xml:space="preserve">Payment of AED 82,320.00 (inclusive of 5% VAT) shall be made via bank transfer within thirty (30) calendar days from the date of confirmed delivery and acceptance of goods. The Chemist buyer shall issue a VAT-compliant tax invoice in accordance with the Federal Tax Authority (FTA) regulations of the United Arab Emirates.</w:t>
      </w:r>
    </w:p>
    <w:p>
      <w:pPr>
        <w:numPr>
          <w:ilvl w:val="0"/>
          <w:numId w:val="1001"/>
        </w:numPr>
        <w:pStyle w:val="Compact"/>
      </w:pPr>
      <w:r>
        <w:rPr>
          <w:bCs/>
          <w:b/>
        </w:rPr>
        <w:t xml:space="preserve">Warranty:</w:t>
      </w:r>
      <w:r>
        <w:t xml:space="preserve"> </w:t>
      </w:r>
      <w:r>
        <w:t xml:space="preserve">All equipment items (Cold Chain Storage Units and Label Printers) carry a minimum twelve (12) month manufacturer's warranty. The supplier shall coordinate warranty service within United Arab Emirates Dubai and ensure response times do not exceed seventy-two (72) hours.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port restrictions in United Arab Emirates Dubai, or supply chain disruptions. Affected parties must notify the other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with jurisdiction vested in the courts of Dubai, United Arab Emirates Dubai. Any disputes shall first be subject to mediation before the Dubai International Financial Centre (DIFC) Arbitration Centre.</w:t>
      </w:r>
    </w:p>
    <w:p>
      <w:pPr>
        <w:numPr>
          <w:ilvl w:val="0"/>
          <w:numId w:val="1001"/>
        </w:numPr>
        <w:pStyle w:val="Compact"/>
      </w:pPr>
      <w:r>
        <w:rPr>
          <w:bCs/>
          <w:b/>
        </w:rPr>
        <w:t xml:space="preserve">Confidentiality:</w:t>
      </w:r>
      <w:r>
        <w:t xml:space="preserve"> </w:t>
      </w:r>
      <w:r>
        <w:t xml:space="preserve">Both parties agree to maintain the confidentiality of pricing, product lists, and commercial terms contained in this Purchase Order. This obligation survives termination for a period of two (2) years.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Chemist buyer and the supplier.</w:t>
      </w:r>
    </w:p>
    <w:p>
      <w:pPr>
        <w:pStyle w:val="FirstParagraph"/>
      </w:pPr>
      <w:r>
        <w:t xml:space="preserve">Authorized Signatures</w:t>
      </w:r>
    </w:p>
    <w:p>
      <w:pPr>
        <w:pStyle w:val="BodyText"/>
      </w:pPr>
      <w:r>
        <w:rPr>
          <w:bCs/>
          <w:b/>
        </w:rPr>
        <w:t xml:space="preserve">For and on behalf of the Chemist Buyer:</w:t>
      </w:r>
    </w:p>
    <w:p>
      <w:pPr>
        <w:pStyle w:val="BodyText"/>
      </w:pPr>
      <w:r>
        <w:t xml:space="preserve">Name: Dr. Ahmed Al Mansoori</w:t>
      </w:r>
    </w:p>
    <w:p>
      <w:pPr>
        <w:pStyle w:val="BodyText"/>
      </w:pPr>
      <w:r>
        <w:t xml:space="preserve">Title: Managing Director, Al Noor Pharmacy &amp; Chemist Supplies LLC</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Name: Ms. Fatima Al Rashid</w:t>
      </w:r>
    </w:p>
    <w:p>
      <w:pPr>
        <w:pStyle w:val="BodyText"/>
      </w:pPr>
      <w:r>
        <w:t xml:space="preserve">Title: Head of Sales, Gulf Pharma Distribution FZE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(PO-2025-04782) is issued by a licensed Chemist in United Arab Emirates Dubai and is subject to all applicable UAE federal and Dubai municipal regulations. Document generated on 14 June 2025. For queries, contact procurement@alnoorchemist.ae. All pharmaceutical transactions are subject to MOHAP and DHA oversight within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United Arab Emirates Dubai</dc:title>
  <dc:creator/>
  <dc:language>en</dc:language>
  <cp:keywords/>
  <dcterms:created xsi:type="dcterms:W3CDTF">2026-10-10T04:40:48Z</dcterms:created>
  <dcterms:modified xsi:type="dcterms:W3CDTF">2026-10-10T04:40:48Z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