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Civil</w:t>
      </w:r>
      <w:r>
        <w:t xml:space="preserve"> </w:t>
      </w:r>
      <w:r>
        <w:t xml:space="preserve">Engineer</w:t>
      </w:r>
      <w:r>
        <w:t xml:space="preserve"> </w:t>
      </w:r>
      <w:r>
        <w:t xml:space="preserve">Services</w:t>
      </w:r>
      <w:r>
        <w:t xml:space="preserve"> </w:t>
      </w:r>
      <w:r>
        <w:t xml:space="preserve">-</w:t>
      </w:r>
      <w:r>
        <w:t xml:space="preserve"> </w:t>
      </w:r>
      <w:r>
        <w:t xml:space="preserve">Egypt</w:t>
      </w:r>
      <w:r>
        <w:t xml:space="preserve"> </w:t>
      </w:r>
      <w:r>
        <w:t xml:space="preserve">Cairo</w:t>
      </w:r>
    </w:p>
    <w:bookmarkStart w:id="20" w:name="purchase-order"/>
    <w:p>
      <w:pPr>
        <w:pStyle w:val="Heading1"/>
      </w:pPr>
      <w:r>
        <w:t xml:space="preserve">PURCHASE ORDER</w:t>
      </w:r>
    </w:p>
    <w:p>
      <w:pPr>
        <w:pStyle w:val="FirstParagraph"/>
      </w:pPr>
      <w:r>
        <w:t xml:space="preserve">Professional Services Procurement — Civil Engineering Division</w:t>
      </w:r>
    </w:p>
    <w:p>
      <w:pPr>
        <w:pStyle w:val="BodyText"/>
      </w:pPr>
      <w:r>
        <w:t xml:space="preserve">Issued in Egypt Cairo, Arab Republic of Egypt</w:t>
      </w:r>
    </w:p>
    <w:bookmarkEnd w:id="20"/>
    <w:bookmarkStart w:id="21" w:name="issuing-company-buyer"/>
    <w:p>
      <w:pPr>
        <w:pStyle w:val="Heading3"/>
      </w:pPr>
      <w:r>
        <w:t xml:space="preserve">Issuing Company (Buyer)</w:t>
      </w:r>
    </w:p>
    <w:p>
      <w:pPr>
        <w:pStyle w:val="FirstParagraph"/>
      </w:pPr>
      <w:r>
        <w:rPr>
          <w:bCs/>
          <w:b/>
        </w:rPr>
        <w:t xml:space="preserve">Nile Delta Infrastructure Development Co.</w:t>
      </w:r>
    </w:p>
    <w:p>
      <w:pPr>
        <w:pStyle w:val="BodyText"/>
      </w:pPr>
      <w:r>
        <w:t xml:space="preserve">Address: 42 Corniche El Nil, Dokki District</w:t>
      </w:r>
    </w:p>
    <w:p>
      <w:pPr>
        <w:pStyle w:val="BodyText"/>
      </w:pPr>
      <w:r>
        <w:t xml:space="preserve">Cairo, Egypt — P.O. Box 11455</w:t>
      </w:r>
    </w:p>
    <w:p>
      <w:pPr>
        <w:pStyle w:val="BodyText"/>
      </w:pPr>
      <w:r>
        <w:t xml:space="preserve">Tax Registration No.: 552-883-441</w:t>
      </w:r>
    </w:p>
    <w:p>
      <w:pPr>
        <w:pStyle w:val="BodyText"/>
      </w:pPr>
      <w:r>
        <w:t xml:space="preserve">Commercial Reg. No.: CR-2019-0044721</w:t>
      </w:r>
    </w:p>
    <w:p>
      <w:pPr>
        <w:pStyle w:val="BodyText"/>
      </w:pPr>
      <w:r>
        <w:t xml:space="preserve">Contact: procurement@niledelta-infrastructure.eg</w:t>
      </w:r>
    </w:p>
    <w:p>
      <w:pPr>
        <w:pStyle w:val="BodyText"/>
      </w:pPr>
      <w:r>
        <w:t xml:space="preserve">Phone: +20 2 2735 8890</w:t>
      </w:r>
    </w:p>
    <w:bookmarkEnd w:id="21"/>
    <w:bookmarkStart w:id="22" w:name="service-provider-vendor"/>
    <w:p>
      <w:pPr>
        <w:pStyle w:val="Heading3"/>
      </w:pPr>
      <w:r>
        <w:t xml:space="preserve">Service Provider (Vendor)</w:t>
      </w:r>
    </w:p>
    <w:p>
      <w:pPr>
        <w:pStyle w:val="FirstParagraph"/>
      </w:pPr>
      <w:r>
        <w:rPr>
          <w:bCs/>
          <w:b/>
        </w:rPr>
        <w:t xml:space="preserve">Eng. Mahmoud Hassan El-Sayed</w:t>
      </w:r>
    </w:p>
    <w:p>
      <w:pPr>
        <w:pStyle w:val="BodyText"/>
      </w:pPr>
      <w:r>
        <w:t xml:space="preserve">Civil Engineer — Licensed Practitioner</w:t>
      </w:r>
    </w:p>
    <w:p>
      <w:pPr>
        <w:pStyle w:val="BodyText"/>
      </w:pPr>
      <w:r>
        <w:t xml:space="preserve">Address: 18 El-Maadi St., Maadi District</w:t>
      </w:r>
    </w:p>
    <w:p>
      <w:pPr>
        <w:pStyle w:val="BodyText"/>
      </w:pPr>
      <w:r>
        <w:t xml:space="preserve">Cairo, Egypt — P.O. Box 11720</w:t>
      </w:r>
    </w:p>
    <w:p>
      <w:pPr>
        <w:pStyle w:val="BodyText"/>
      </w:pPr>
      <w:r>
        <w:t xml:space="preserve">Engineering License No.: CE-EGY-2014-08832</w:t>
      </w:r>
    </w:p>
    <w:p>
      <w:pPr>
        <w:pStyle w:val="BodyText"/>
      </w:pPr>
      <w:r>
        <w:t xml:space="preserve">Chamber of Engineers Reg.: 44712 (Cairo Branch)</w:t>
      </w:r>
    </w:p>
    <w:p>
      <w:pPr>
        <w:pStyle w:val="BodyText"/>
      </w:pPr>
      <w:r>
        <w:t xml:space="preserve">Contact: m.hassan.engineer@gmail.com</w:t>
      </w:r>
    </w:p>
    <w:p>
      <w:pPr>
        <w:pStyle w:val="BodyText"/>
      </w:pPr>
      <w:r>
        <w:t xml:space="preserve">Phone: +20 100 445 6721</w:t>
      </w:r>
    </w:p>
    <w:bookmarkEnd w:id="22"/>
    <w:p>
      <w:pPr>
        <w:pStyle w:val="BodyText"/>
      </w:pPr>
      <w:r>
        <w:rPr>
          <w:bCs/>
          <w:b/>
        </w:rPr>
        <w:t xml:space="preserve">Purchase Order No.:</w:t>
      </w:r>
      <w:r>
        <w:t xml:space="preserve"> </w:t>
      </w:r>
      <w:r>
        <w:t xml:space="preserve">PO-2025-CE-00347</w:t>
      </w:r>
    </w:p>
    <w:p>
      <w:pPr>
        <w:pStyle w:val="BodyText"/>
      </w:pPr>
      <w:r>
        <w:rPr>
          <w:bCs/>
          <w:b/>
        </w:rPr>
        <w:t xml:space="preserve">Date of Issue:</w:t>
      </w:r>
      <w:r>
        <w:t xml:space="preserve"> </w:t>
      </w:r>
      <w:r>
        <w:t xml:space="preserve">14 June 2025</w:t>
      </w:r>
    </w:p>
    <w:p>
      <w:pPr>
        <w:pStyle w:val="BodyText"/>
      </w:pPr>
      <w:r>
        <w:rPr>
          <w:bCs/>
          <w:b/>
        </w:rPr>
        <w:t xml:space="preserve">Project Reference:</w:t>
      </w:r>
      <w:r>
        <w:t xml:space="preserve"> </w:t>
      </w:r>
      <w:r>
        <w:t xml:space="preserve">NDID-Cairo-Phase3</w:t>
      </w:r>
    </w:p>
    <w:p>
      <w:pPr>
        <w:pStyle w:val="BodyText"/>
      </w:pPr>
      <w:r>
        <w:rPr>
          <w:bCs/>
          <w:b/>
        </w:rPr>
        <w:t xml:space="preserve">Valid Until:</w:t>
      </w:r>
      <w:r>
        <w:t xml:space="preserve"> </w:t>
      </w:r>
      <w:r>
        <w:t xml:space="preserve">14 July 2025</w:t>
      </w:r>
    </w:p>
    <w:p>
      <w:pPr>
        <w:pStyle w:val="BodyText"/>
      </w:pPr>
      <w:r>
        <w:t xml:space="preserve">Description of Procured Services</w:t>
      </w:r>
    </w:p>
    <w:p>
      <w:pPr>
        <w:pStyle w:val="BodyText"/>
      </w:pPr>
      <w:r>
        <w:t xml:space="preserve">This Purchase Order is issued by Nile Delta Infrastructure Development Co. to engage the services of a qualified</w:t>
      </w:r>
      <w:r>
        <w:t xml:space="preserve"> </w:t>
      </w:r>
      <w:r>
        <w:rPr>
          <w:bCs/>
          <w:b/>
        </w:rPr>
        <w:t xml:space="preserve">Civil Engineer</w:t>
      </w:r>
      <w:r>
        <w:t xml:space="preserve"> </w:t>
      </w:r>
      <w:r>
        <w:t xml:space="preserve">for the design, supervision, and technical oversight of the Phase III residential and commercial development project located in the New Administrative Capital corridor, Egypt Cairo. The Civil Engineer shall be responsible for structural design, geotechnical assessment, construction supervision, and compliance verification in accordance with Egyptian Building Code (EBC 2021) and all applicable municipal regulations of the Cairo Governorate.</w:t>
      </w:r>
    </w:p>
    <w:p>
      <w:pPr>
        <w:pStyle w:val="BodyText"/>
      </w:pPr>
      <w:r>
        <w:t xml:space="preserve">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Rate (EGP)</w:t>
            </w:r>
          </w:p>
        </w:tc>
        <w:tc>
          <w:tcPr/>
          <w:p>
            <w:pPr>
              <w:pStyle w:val="Compact"/>
              <w:jc w:val="left"/>
            </w:pPr>
            <w:r>
              <w:t xml:space="preserve">Total (EGP)</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Structural design and load calculations for 12-story residential tower (concrete frame system) per EBC 2021 seismic zone 3 requirements applicable to Egypt Cairo</w:t>
            </w:r>
          </w:p>
        </w:tc>
        <w:tc>
          <w:tcPr/>
          <w:p>
            <w:pPr>
              <w:pStyle w:val="Compact"/>
              <w:jc w:val="left"/>
            </w:pPr>
            <w:r>
              <w:t xml:space="preserve">1 Lot</w:t>
            </w:r>
          </w:p>
        </w:tc>
        <w:tc>
          <w:tcPr/>
          <w:p>
            <w:pPr>
              <w:pStyle w:val="Compact"/>
              <w:jc w:val="left"/>
            </w:pPr>
            <w:r>
              <w:t xml:space="preserve">485,000</w:t>
            </w:r>
          </w:p>
        </w:tc>
        <w:tc>
          <w:tcPr/>
          <w:p>
            <w:pPr>
              <w:pStyle w:val="Compact"/>
              <w:jc w:val="left"/>
            </w:pPr>
            <w:r>
              <w:t xml:space="preserve">485,000</w:t>
            </w:r>
          </w:p>
        </w:tc>
        <w:tc>
          <w:tcPr/>
          <w:p>
            <w:pPr>
              <w:pStyle w:val="Compact"/>
              <w:jc w:val="left"/>
            </w:pPr>
            <w:r>
              <w:t xml:space="preserve">60 days</w:t>
            </w:r>
          </w:p>
        </w:tc>
      </w:tr>
      <w:tr>
        <w:tc>
          <w:tcPr/>
          <w:p>
            <w:pPr>
              <w:pStyle w:val="Compact"/>
              <w:jc w:val="left"/>
            </w:pPr>
            <w:r>
              <w:t xml:space="preserve">2</w:t>
            </w:r>
          </w:p>
        </w:tc>
        <w:tc>
          <w:tcPr/>
          <w:p>
            <w:pPr>
              <w:pStyle w:val="Compact"/>
              <w:jc w:val="left"/>
            </w:pPr>
            <w:r>
              <w:t xml:space="preserve">Geotechnical investigation review and foundation design (pile and raft) for the project site in 6th October City, Egypt Cairo</w:t>
            </w:r>
          </w:p>
        </w:tc>
        <w:tc>
          <w:tcPr/>
          <w:p>
            <w:pPr>
              <w:pStyle w:val="Compact"/>
              <w:jc w:val="left"/>
            </w:pPr>
            <w:r>
              <w:t xml:space="preserve">1 Lot</w:t>
            </w:r>
          </w:p>
        </w:tc>
        <w:tc>
          <w:tcPr/>
          <w:p>
            <w:pPr>
              <w:pStyle w:val="Compact"/>
              <w:jc w:val="left"/>
            </w:pPr>
            <w:r>
              <w:t xml:space="preserve">220,000</w:t>
            </w:r>
          </w:p>
        </w:tc>
        <w:tc>
          <w:tcPr/>
          <w:p>
            <w:pPr>
              <w:pStyle w:val="Compact"/>
              <w:jc w:val="left"/>
            </w:pPr>
            <w:r>
              <w:t xml:space="preserve">220,000</w:t>
            </w:r>
          </w:p>
        </w:tc>
        <w:tc>
          <w:tcPr/>
          <w:p>
            <w:pPr>
              <w:pStyle w:val="Compact"/>
              <w:jc w:val="left"/>
            </w:pPr>
            <w:r>
              <w:t xml:space="preserve">30 days</w:t>
            </w:r>
          </w:p>
        </w:tc>
      </w:tr>
      <w:tr>
        <w:tc>
          <w:tcPr/>
          <w:p>
            <w:pPr>
              <w:pStyle w:val="Compact"/>
              <w:jc w:val="left"/>
            </w:pPr>
            <w:r>
              <w:t xml:space="preserve">3</w:t>
            </w:r>
          </w:p>
        </w:tc>
        <w:tc>
          <w:tcPr/>
          <w:p>
            <w:pPr>
              <w:pStyle w:val="Compact"/>
              <w:jc w:val="left"/>
            </w:pPr>
            <w:r>
              <w:t xml:space="preserve">On-site construction supervision and quality assurance (Civil Engineer present minimum 5 days/week during active construction phase)</w:t>
            </w:r>
          </w:p>
        </w:tc>
        <w:tc>
          <w:tcPr/>
          <w:p>
            <w:pPr>
              <w:pStyle w:val="Compact"/>
              <w:jc w:val="left"/>
            </w:pPr>
            <w:r>
              <w:t xml:space="preserve">18 Months</w:t>
            </w:r>
          </w:p>
        </w:tc>
        <w:tc>
          <w:tcPr/>
          <w:p>
            <w:pPr>
              <w:pStyle w:val="Compact"/>
              <w:jc w:val="left"/>
            </w:pPr>
            <w:r>
              <w:t xml:space="preserve">95,000</w:t>
            </w:r>
          </w:p>
        </w:tc>
        <w:tc>
          <w:tcPr/>
          <w:p>
            <w:pPr>
              <w:pStyle w:val="Compact"/>
              <w:jc w:val="left"/>
            </w:pPr>
            <w:r>
              <w:t xml:space="preserve">1,710,000</w:t>
            </w:r>
          </w:p>
        </w:tc>
        <w:tc>
          <w:tcPr/>
          <w:p>
            <w:pPr>
              <w:pStyle w:val="Compact"/>
              <w:jc w:val="left"/>
            </w:pPr>
            <w:r>
              <w:t xml:space="preserve">18 months</w:t>
            </w:r>
          </w:p>
        </w:tc>
      </w:tr>
      <w:tr>
        <w:tc>
          <w:tcPr/>
          <w:p>
            <w:pPr>
              <w:pStyle w:val="Compact"/>
              <w:jc w:val="left"/>
            </w:pPr>
            <w:r>
              <w:t xml:space="preserve">4</w:t>
            </w:r>
          </w:p>
        </w:tc>
        <w:tc>
          <w:tcPr/>
          <w:p>
            <w:pPr>
              <w:pStyle w:val="Compact"/>
              <w:jc w:val="left"/>
            </w:pPr>
            <w:r>
              <w:t xml:space="preserve">As-built documentation, final inspection reports, and handover certification to Cairo Governorate Building Authority</w:t>
            </w:r>
          </w:p>
        </w:tc>
        <w:tc>
          <w:tcPr/>
          <w:p>
            <w:pPr>
              <w:pStyle w:val="Compact"/>
              <w:jc w:val="left"/>
            </w:pPr>
            <w:r>
              <w:t xml:space="preserve">1 Lot</w:t>
            </w:r>
          </w:p>
        </w:tc>
        <w:tc>
          <w:tcPr/>
          <w:p>
            <w:pPr>
              <w:pStyle w:val="Compact"/>
              <w:jc w:val="left"/>
            </w:pPr>
            <w:r>
              <w:t xml:space="preserve">135,000</w:t>
            </w:r>
          </w:p>
        </w:tc>
        <w:tc>
          <w:tcPr/>
          <w:p>
            <w:pPr>
              <w:pStyle w:val="Compact"/>
              <w:jc w:val="left"/>
            </w:pPr>
            <w:r>
              <w:t xml:space="preserve">135,000</w:t>
            </w:r>
          </w:p>
        </w:tc>
        <w:tc>
          <w:tcPr/>
          <w:p>
            <w:pPr>
              <w:pStyle w:val="Compact"/>
              <w:jc w:val="left"/>
            </w:pPr>
            <w:r>
              <w:t xml:space="preserve">45 days</w:t>
            </w:r>
          </w:p>
        </w:tc>
      </w:tr>
      <w:tr>
        <w:tc>
          <w:tcPr/>
          <w:p>
            <w:pPr>
              <w:pStyle w:val="Compact"/>
              <w:jc w:val="left"/>
            </w:pPr>
            <w:r>
              <w:t xml:space="preserve">5</w:t>
            </w:r>
          </w:p>
        </w:tc>
        <w:tc>
          <w:tcPr/>
          <w:p>
            <w:pPr>
              <w:pStyle w:val="Compact"/>
              <w:jc w:val="left"/>
            </w:pPr>
            <w:r>
              <w:t xml:space="preserve">Emergency structural assessment and remediation design (standby service, activated only upon written request)</w:t>
            </w:r>
          </w:p>
        </w:tc>
        <w:tc>
          <w:tcPr/>
          <w:p>
            <w:pPr>
              <w:pStyle w:val="Compact"/>
              <w:jc w:val="left"/>
            </w:pPr>
            <w:r>
              <w:t xml:space="preserve">1 Lot</w:t>
            </w:r>
          </w:p>
        </w:tc>
        <w:tc>
          <w:tcPr/>
          <w:p>
            <w:pPr>
              <w:pStyle w:val="Compact"/>
              <w:jc w:val="left"/>
            </w:pPr>
            <w:r>
              <w:t xml:space="preserve">75,000</w:t>
            </w:r>
          </w:p>
        </w:tc>
        <w:tc>
          <w:tcPr/>
          <w:p>
            <w:pPr>
              <w:pStyle w:val="Compact"/>
              <w:jc w:val="left"/>
            </w:pPr>
            <w:r>
              <w:t xml:space="preserve">75,000</w:t>
            </w:r>
          </w:p>
        </w:tc>
        <w:tc>
          <w:tcPr/>
          <w:p>
            <w:pPr>
              <w:pStyle w:val="Compact"/>
              <w:jc w:val="left"/>
            </w:pPr>
            <w:r>
              <w:t xml:space="preserve">On demand</w:t>
            </w:r>
          </w:p>
        </w:tc>
      </w:tr>
      <w:tr>
        <w:tc>
          <w:tcPr>
            <w:gridSpan w:val="4"/>
          </w:tcPr>
          <w:p>
            <w:pPr>
              <w:pStyle w:val="Compact"/>
              <w:jc w:val="right"/>
            </w:pPr>
            <w:r>
              <w:t xml:space="preserve">Subtotal:</w:t>
            </w:r>
          </w:p>
        </w:tc>
        <w:tc>
          <w:tcPr/>
          <w:p>
            <w:pPr>
              <w:pStyle w:val="Compact"/>
              <w:jc w:val="left"/>
            </w:pPr>
            <w:r>
              <w:t xml:space="preserve">2,625,000</w:t>
            </w:r>
          </w:p>
        </w:tc>
        <w:tc>
          <w:tcPr/>
          <w:p>
            <w:pPr>
              <w:pStyle w:val="Compact"/>
            </w:pPr>
          </w:p>
        </w:tc>
      </w:tr>
      <w:tr>
        <w:tc>
          <w:tcPr>
            <w:gridSpan w:val="4"/>
          </w:tcPr>
          <w:p>
            <w:pPr>
              <w:pStyle w:val="Compact"/>
              <w:jc w:val="right"/>
            </w:pPr>
            <w:r>
              <w:t xml:space="preserve">VAT (14% — Egyptian Tax Authority):</w:t>
            </w:r>
          </w:p>
        </w:tc>
        <w:tc>
          <w:tcPr/>
          <w:p>
            <w:pPr>
              <w:pStyle w:val="Compact"/>
              <w:jc w:val="left"/>
            </w:pPr>
            <w:r>
              <w:t xml:space="preserve">367,500</w:t>
            </w:r>
          </w:p>
        </w:tc>
        <w:tc>
          <w:tcPr/>
          <w:p>
            <w:pPr>
              <w:pStyle w:val="Compact"/>
            </w:pPr>
          </w:p>
        </w:tc>
      </w:tr>
      <w:tr>
        <w:tc>
          <w:tcPr>
            <w:gridSpan w:val="4"/>
          </w:tcPr>
          <w:p>
            <w:pPr>
              <w:pStyle w:val="Compact"/>
              <w:jc w:val="right"/>
            </w:pPr>
            <w:r>
              <w:t xml:space="preserve">Grand Total (EGP):</w:t>
            </w:r>
          </w:p>
        </w:tc>
        <w:tc>
          <w:tcPr/>
          <w:p>
            <w:pPr>
              <w:pStyle w:val="Compact"/>
              <w:jc w:val="left"/>
            </w:pPr>
            <w:r>
              <w:t xml:space="preserve">2,992,500</w:t>
            </w:r>
          </w:p>
        </w:tc>
        <w:tc>
          <w:tcPr/>
          <w:p>
            <w:pPr>
              <w:pStyle w:val="Compact"/>
            </w:pPr>
          </w:p>
        </w:tc>
      </w:tr>
    </w:tbl>
    <w:p>
      <w:pPr>
        <w:pStyle w:val="BodyText"/>
      </w:pPr>
      <w:r>
        <w:t xml:space="preserve">Terms and Conditions</w:t>
      </w:r>
    </w:p>
    <w:p>
      <w:pPr>
        <w:numPr>
          <w:ilvl w:val="0"/>
          <w:numId w:val="1001"/>
        </w:numPr>
        <w:pStyle w:val="Compact"/>
      </w:pPr>
      <w:r>
        <w:rPr>
          <w:bCs/>
          <w:b/>
        </w:rPr>
        <w:t xml:space="preserve">Scope of Work:</w:t>
      </w:r>
      <w:r>
        <w:t xml:space="preserve"> </w:t>
      </w:r>
      <w:r>
        <w:t xml:space="preserve">The Civil Engineer shall perform all structural, geotechnical, and supervisory services as described in the line items above. All deliverables must comply with the Egyptian Building Code (EBC 2021), the Cairo Governorate Municipal Regulations, and the standards published by the Egyptian Organization for Standardization and Quality (EOS).</w:t>
      </w:r>
    </w:p>
    <w:p>
      <w:pPr>
        <w:numPr>
          <w:ilvl w:val="0"/>
          <w:numId w:val="1001"/>
        </w:numPr>
        <w:pStyle w:val="Compact"/>
      </w:pPr>
      <w:r>
        <w:rPr>
          <w:bCs/>
          <w:b/>
        </w:rPr>
        <w:t xml:space="preserve">Licensing and Compliance:</w:t>
      </w:r>
      <w:r>
        <w:t xml:space="preserve"> </w:t>
      </w:r>
      <w:r>
        <w:t xml:space="preserve">The Civil Engineer must maintain a valid professional license issued by the Egyptian Engineers Syndicate (Cairo Branch) throughout the entire contract period. Any lapse in licensure shall constitute grounds for immediate termination of this Purchase Order.</w:t>
      </w:r>
    </w:p>
    <w:p>
      <w:pPr>
        <w:numPr>
          <w:ilvl w:val="0"/>
          <w:numId w:val="1001"/>
        </w:numPr>
        <w:pStyle w:val="Compact"/>
      </w:pPr>
      <w:r>
        <w:rPr>
          <w:bCs/>
          <w:b/>
        </w:rPr>
        <w:t xml:space="preserve">Payment Schedule:</w:t>
      </w:r>
      <w:r>
        <w:t xml:space="preserve"> </w:t>
      </w:r>
      <w:r>
        <w:t xml:space="preserve">Payment shall be made in four (4) equal installments of EGP 748,125 each, due within thirty (30) calendar days of the Buyer's written acceptance of each milestone deliverable. Payment shall be processed via bank transfer to the Civil Engineer's designated account at National Bank of Egypt, Cairo branch.</w:t>
      </w:r>
    </w:p>
    <w:p>
      <w:pPr>
        <w:numPr>
          <w:ilvl w:val="0"/>
          <w:numId w:val="1001"/>
        </w:numPr>
        <w:pStyle w:val="Compact"/>
      </w:pPr>
      <w:r>
        <w:rPr>
          <w:bCs/>
          <w:b/>
        </w:rPr>
        <w:t xml:space="preserve">Commencement and Timeline:</w:t>
      </w:r>
      <w:r>
        <w:t xml:space="preserve"> </w:t>
      </w:r>
      <w:r>
        <w:t xml:space="preserve">Services shall commence on 1 July 2025. The Civil Engineer shall submit a detailed project schedule within seven (7) days of receiving this Purchase Order. All timelines are subject to approval by the Cairo Governorate Building Inspection Department.</w:t>
      </w:r>
    </w:p>
    <w:p>
      <w:pPr>
        <w:numPr>
          <w:ilvl w:val="0"/>
          <w:numId w:val="1001"/>
        </w:numPr>
        <w:pStyle w:val="Compact"/>
      </w:pPr>
      <w:r>
        <w:rPr>
          <w:bCs/>
          <w:b/>
        </w:rPr>
        <w:t xml:space="preserve">Intellectual Property:</w:t>
      </w:r>
      <w:r>
        <w:t xml:space="preserve"> </w:t>
      </w:r>
      <w:r>
        <w:t xml:space="preserve">All design documents, calculations, drawings, and reports produced under this Purchase Order shall become the exclusive property of Nile Delta Infrastructure Development Co. upon full payment. The Civil Engineer retains the right to reference the project in professional portfolios with prior written consent.</w:t>
      </w:r>
    </w:p>
    <w:p>
      <w:pPr>
        <w:numPr>
          <w:ilvl w:val="0"/>
          <w:numId w:val="1001"/>
        </w:numPr>
        <w:pStyle w:val="Compact"/>
      </w:pPr>
      <w:r>
        <w:rPr>
          <w:bCs/>
          <w:b/>
        </w:rPr>
        <w:t xml:space="preserve">Insurance:</w:t>
      </w:r>
      <w:r>
        <w:t xml:space="preserve"> </w:t>
      </w:r>
      <w:r>
        <w:t xml:space="preserve">The Civil Engineer shall maintain professional indemnity insurance with a minimum coverage of EGP 5,000,000, valid throughout the project duration in Egypt Cairo. A certificate of insurance shall be submitted prior to commencement.</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for convenience, the Civil Engineer shall be compensated for all services rendered up to the termination date, plus a 10% completion premium on partially completed work items.</w:t>
      </w:r>
    </w:p>
    <w:p>
      <w:pPr>
        <w:numPr>
          <w:ilvl w:val="0"/>
          <w:numId w:val="1001"/>
        </w:numPr>
        <w:pStyle w:val="Compact"/>
      </w:pPr>
      <w:r>
        <w:rPr>
          <w:bCs/>
          <w:b/>
        </w:rPr>
        <w:t xml:space="preserve">Dispute Resolution:</w:t>
      </w:r>
      <w:r>
        <w:t xml:space="preserve"> </w:t>
      </w:r>
      <w:r>
        <w:t xml:space="preserve">Any disputes arising from this Purchase Order shall be resolved through amicable negotiation. Failing resolution within thirty (30) days, the matter shall be referred to arbitration under the rules of the Egyptian Arbitration Center (EAC) in Cairo. The governing law shall be the laws of the Arab Republic of Egypt.</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shutdowns in Egypt Cairo, or acts of war, as defined under Egyptian Civil Law Article 147.</w:t>
      </w:r>
    </w:p>
    <w:p>
      <w:pPr>
        <w:numPr>
          <w:ilvl w:val="0"/>
          <w:numId w:val="1001"/>
        </w:numPr>
        <w:pStyle w:val="Compact"/>
      </w:pPr>
      <w:r>
        <w:rPr>
          <w:bCs/>
          <w:b/>
        </w:rPr>
        <w:t xml:space="preserve">Confidentiality:</w:t>
      </w:r>
      <w:r>
        <w:t xml:space="preserve"> </w:t>
      </w:r>
      <w:r>
        <w:t xml:space="preserve">The Civil Engineer agrees to maintain strict confidentiality regarding all project specifications, client information, and proprietary data. This obligation survives the termination of this Purchase Order for a period of five (5) years.</w:t>
      </w:r>
    </w:p>
    <w:p>
      <w:pPr>
        <w:pStyle w:val="FirstParagraph"/>
      </w:pPr>
      <w:r>
        <w:t xml:space="preserve">Acceptance and Authorization</w:t>
      </w:r>
    </w:p>
    <w:p>
      <w:pPr>
        <w:pStyle w:val="BodyText"/>
      </w:pPr>
      <w:r>
        <w:t xml:space="preserve">By signing below, both parties acknowledge and agree to all terms, conditions, and specifications outlined in this Purchase Order. This document constitutes a binding agreement for the procurement of Civil Engineer professional services in Egypt Cairo.</w:t>
      </w:r>
    </w:p>
    <w:p>
      <w:pPr>
        <w:pStyle w:val="BodyText"/>
      </w:pPr>
      <w:r>
        <w:rPr>
          <w:bCs/>
          <w:b/>
        </w:rPr>
        <w:t xml:space="preserve">For and on behalf of the Buyer:</w:t>
      </w:r>
    </w:p>
    <w:p>
      <w:pPr>
        <w:pStyle w:val="BodyText"/>
      </w:pPr>
      <w:r>
        <w:t xml:space="preserve">Nile Delta Infrastructure Development Co.</w:t>
      </w:r>
    </w:p>
    <w:p>
      <w:pPr>
        <w:pStyle w:val="BodyText"/>
      </w:pPr>
      <w:r>
        <w:t xml:space="preserve">Authorized Signatory</w:t>
      </w:r>
    </w:p>
    <w:p>
      <w:pPr>
        <w:pStyle w:val="BodyText"/>
      </w:pPr>
      <w:r>
        <w:t xml:space="preserve">Name: Dr. Ahmed Fathy El-Naggar</w:t>
      </w:r>
    </w:p>
    <w:p>
      <w:pPr>
        <w:pStyle w:val="BodyText"/>
      </w:pPr>
      <w:r>
        <w:t xml:space="preserve">Title: Chief Procurement Officer</w:t>
      </w:r>
    </w:p>
    <w:p>
      <w:pPr>
        <w:pStyle w:val="BodyText"/>
      </w:pPr>
      <w:r>
        <w:t xml:space="preserve">Date: _______________</w:t>
      </w:r>
    </w:p>
    <w:p>
      <w:pPr>
        <w:pStyle w:val="BodyText"/>
      </w:pPr>
      <w:r>
        <w:rPr>
          <w:bCs/>
          <w:b/>
        </w:rPr>
        <w:t xml:space="preserve">For and on behalf of the Vendor:</w:t>
      </w:r>
    </w:p>
    <w:p>
      <w:pPr>
        <w:pStyle w:val="BodyText"/>
      </w:pPr>
      <w:r>
        <w:t xml:space="preserve">Civil Engineer — Service Provider</w:t>
      </w:r>
    </w:p>
    <w:p>
      <w:pPr>
        <w:pStyle w:val="BodyText"/>
      </w:pPr>
      <w:r>
        <w:t xml:space="preserve">Civil Engineer</w:t>
      </w:r>
    </w:p>
    <w:p>
      <w:pPr>
        <w:pStyle w:val="BodyText"/>
      </w:pPr>
      <w:r>
        <w:t xml:space="preserve">Name: Eng. Mahmoud Hassan El-Sayed</w:t>
      </w:r>
    </w:p>
    <w:p>
      <w:pPr>
        <w:pStyle w:val="BodyText"/>
      </w:pPr>
      <w:r>
        <w:t xml:space="preserve">License No.: CE-EGY-2014-08832</w:t>
      </w:r>
    </w:p>
    <w:p>
      <w:pPr>
        <w:pStyle w:val="BodyText"/>
      </w:pPr>
      <w:r>
        <w:t xml:space="preserve">Date: _______________</w:t>
      </w:r>
    </w:p>
    <w:p>
      <w:pPr>
        <w:pStyle w:val="BodyText"/>
      </w:pPr>
      <w:r>
        <w:t xml:space="preserve">[Company Seal — Nile Delta Infrastructure Development Co.]     [Engineers Syndicate Stamp — Cairo Branch]</w:t>
      </w:r>
    </w:p>
    <w:p>
      <w:pPr>
        <w:pStyle w:val="BodyText"/>
      </w:pPr>
      <w:r>
        <w:rPr>
          <w:bCs/>
          <w:b/>
        </w:rPr>
        <w:t xml:space="preserve">Important Notice:</w:t>
      </w:r>
      <w:r>
        <w:t xml:space="preserve"> </w:t>
      </w:r>
      <w:r>
        <w:t xml:space="preserve">This Purchase Order is governed by the laws of the Arab Republic of Egypt. All services described herein are to be performed within the jurisdiction of Egypt Cairo. The Civil Engineer is required to register this engagement with the Cairo Branch of the Egyptian Engineers Syndicate within fourteen (14) days of acceptance. This document must be presented to the Cairo Governorate Building Authority as part of the project permit application. A copy of this Purchase Order shall be retained by both parties for a minimum period of seven (7) years in compliance with Egyptian commercial record-keeping regulations.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Civil Engineer Services - Egypt Cairo</dc:title>
  <dc:creator/>
  <dc:language>en</dc:language>
  <cp:keywords/>
  <dcterms:created xsi:type="dcterms:W3CDTF">2026-10-10T06:39:22Z</dcterms:created>
  <dcterms:modified xsi:type="dcterms:W3CDTF">2026-10-10T06:39:22Z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