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Civil</w:t>
      </w:r>
      <w:r>
        <w:t xml:space="preserve"> </w:t>
      </w:r>
      <w:r>
        <w:t xml:space="preserve">Engineer</w:t>
      </w:r>
      <w:r>
        <w:t xml:space="preserve"> </w:t>
      </w:r>
      <w:r>
        <w:t xml:space="preserve">Services</w:t>
      </w:r>
      <w:r>
        <w:t xml:space="preserve"> </w:t>
      </w:r>
      <w:r>
        <w:t xml:space="preserve">-</w:t>
      </w:r>
      <w:r>
        <w:t xml:space="preserve"> </w:t>
      </w:r>
      <w:r>
        <w:t xml:space="preserve">Kazakhstan</w:t>
      </w:r>
      <w:r>
        <w:t xml:space="preserve"> </w:t>
      </w:r>
      <w:r>
        <w:t xml:space="preserve">Almaty</w:t>
      </w:r>
    </w:p>
    <w:bookmarkStart w:id="20" w:name="purchase-order"/>
    <w:p>
      <w:pPr>
        <w:pStyle w:val="Heading1"/>
      </w:pPr>
      <w:r>
        <w:t xml:space="preserve">PURCHASE ORDER</w:t>
      </w:r>
    </w:p>
    <w:p>
      <w:pPr>
        <w:pStyle w:val="FirstParagraph"/>
      </w:pPr>
      <w:r>
        <w:t xml:space="preserve">Professional Services Procurement Document</w:t>
      </w:r>
    </w:p>
    <w:p>
      <w:pPr>
        <w:pStyle w:val="BodyText"/>
      </w:pPr>
      <w:r>
        <w:t xml:space="preserve">PO No.: KZ-ALM-2025-CE-0047</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w:t>
            </w:r>
          </w:p>
        </w:tc>
      </w:tr>
      <w:tr>
        <w:tc>
          <w:tcPr/>
          <w:p>
            <w:pPr>
              <w:pStyle w:val="Compact"/>
              <w:jc w:val="left"/>
            </w:pPr>
            <w:r>
              <w:t xml:space="preserve">Project Location:</w:t>
            </w:r>
          </w:p>
        </w:tc>
        <w:tc>
          <w:tcPr/>
          <w:p>
            <w:pPr>
              <w:pStyle w:val="Compact"/>
              <w:jc w:val="left"/>
            </w:pPr>
            <w:r>
              <w:t xml:space="preserve">Kazakhstan Almaty, 050040, Al-Farabi Avenue, Building 12, Kazakhstan</w:t>
            </w:r>
          </w:p>
        </w:tc>
      </w:tr>
      <w:tr>
        <w:tc>
          <w:tcPr/>
          <w:p>
            <w:pPr>
              <w:pStyle w:val="Compact"/>
              <w:jc w:val="left"/>
            </w:pPr>
            <w:r>
              <w:t xml:space="preserve">Currency:</w:t>
            </w:r>
          </w:p>
        </w:tc>
        <w:tc>
          <w:tcPr/>
          <w:p>
            <w:pPr>
              <w:pStyle w:val="Compact"/>
              <w:jc w:val="left"/>
            </w:pPr>
            <w:r>
              <w:t xml:space="preserve">Kazakhstani Tenge (KZT)</w:t>
            </w:r>
          </w:p>
        </w:tc>
      </w:tr>
      <w:tr>
        <w:tc>
          <w:tcPr/>
          <w:p>
            <w:pPr>
              <w:pStyle w:val="Compact"/>
              <w:jc w:val="left"/>
            </w:pPr>
            <w:r>
              <w:t xml:space="preserve">Governing Law:</w:t>
            </w:r>
          </w:p>
        </w:tc>
        <w:tc>
          <w:tcPr/>
          <w:p>
            <w:pPr>
              <w:pStyle w:val="Compact"/>
              <w:jc w:val="left"/>
            </w:pPr>
            <w:r>
              <w:t xml:space="preserve">Republic of Kazakhstan, Civil Code and Construction Code</w:t>
            </w:r>
          </w:p>
        </w:tc>
      </w:tr>
    </w:tbl>
    <w:bookmarkStart w:id="21" w:name="purchasing-entity-buyer"/>
    <w:p>
      <w:pPr>
        <w:pStyle w:val="Heading2"/>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Company Name:</w:t>
            </w:r>
          </w:p>
        </w:tc>
        <w:tc>
          <w:tcPr/>
          <w:p>
            <w:pPr>
              <w:pStyle w:val="Compact"/>
              <w:jc w:val="left"/>
            </w:pPr>
            <w:r>
              <w:t xml:space="preserve">Almaty Infrastructure Development JSC</w:t>
            </w:r>
          </w:p>
        </w:tc>
      </w:tr>
      <w:tr>
        <w:tc>
          <w:tcPr/>
          <w:p>
            <w:pPr>
              <w:pStyle w:val="Compact"/>
              <w:jc w:val="left"/>
            </w:pPr>
            <w:r>
              <w:t xml:space="preserve">BIN (Tax ID):</w:t>
            </w:r>
          </w:p>
        </w:tc>
        <w:tc>
          <w:tcPr/>
          <w:p>
            <w:pPr>
              <w:pStyle w:val="Compact"/>
              <w:jc w:val="left"/>
            </w:pPr>
            <w:r>
              <w:t xml:space="preserve">990140001234</w:t>
            </w:r>
          </w:p>
        </w:tc>
      </w:tr>
      <w:tr>
        <w:tc>
          <w:tcPr/>
          <w:p>
            <w:pPr>
              <w:pStyle w:val="Compact"/>
              <w:jc w:val="left"/>
            </w:pPr>
            <w:r>
              <w:t xml:space="preserve">Address:</w:t>
            </w:r>
          </w:p>
        </w:tc>
        <w:tc>
          <w:tcPr/>
          <w:p>
            <w:pPr>
              <w:pStyle w:val="Compact"/>
              <w:jc w:val="left"/>
            </w:pPr>
            <w:r>
              <w:t xml:space="preserve">45 Dostyk Avenue, Almaty, 050000, Kazakhstan</w:t>
            </w:r>
          </w:p>
        </w:tc>
      </w:tr>
      <w:tr>
        <w:tc>
          <w:tcPr/>
          <w:p>
            <w:pPr>
              <w:pStyle w:val="Compact"/>
              <w:jc w:val="left"/>
            </w:pPr>
            <w:r>
              <w:t xml:space="preserve">Authorized Representative:</w:t>
            </w:r>
          </w:p>
        </w:tc>
        <w:tc>
          <w:tcPr/>
          <w:p>
            <w:pPr>
              <w:pStyle w:val="Compact"/>
              <w:jc w:val="left"/>
            </w:pPr>
            <w:r>
              <w:t xml:space="preserve">Mr. Tolkyn Aitbekov, Chief Procurement Officer</w:t>
            </w:r>
          </w:p>
        </w:tc>
      </w:tr>
      <w:tr>
        <w:tc>
          <w:tcPr/>
          <w:p>
            <w:pPr>
              <w:pStyle w:val="Compact"/>
              <w:jc w:val="left"/>
            </w:pPr>
            <w:r>
              <w:t xml:space="preserve">Contact:</w:t>
            </w:r>
          </w:p>
        </w:tc>
        <w:tc>
          <w:tcPr/>
          <w:p>
            <w:pPr>
              <w:pStyle w:val="Compact"/>
              <w:jc w:val="left"/>
            </w:pPr>
            <w:r>
              <w:t xml:space="preserve">procurement@almatyinfra.kz | +7 (727) 312-45-67</w:t>
            </w:r>
          </w:p>
        </w:tc>
      </w:tr>
    </w:tbl>
    <w:bookmarkEnd w:id="21"/>
    <w:bookmarkStart w:id="22" w:name="service-provider-supplier-civil-engineer"/>
    <w:p>
      <w:pPr>
        <w:pStyle w:val="Heading2"/>
      </w:pPr>
      <w:r>
        <w:t xml:space="preserve">2. Service Provider (Supplier / Civil Engineer)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Professional Name:</w:t>
            </w:r>
          </w:p>
        </w:tc>
        <w:tc>
          <w:tcPr/>
          <w:p>
            <w:pPr>
              <w:pStyle w:val="Compact"/>
              <w:jc w:val="left"/>
            </w:pPr>
            <w:r>
              <w:t xml:space="preserve">Ms. Aigerim Nurlanova, P.Eng.</w:t>
            </w:r>
          </w:p>
        </w:tc>
      </w:tr>
      <w:tr>
        <w:tc>
          <w:tcPr/>
          <w:p>
            <w:pPr>
              <w:pStyle w:val="Compact"/>
              <w:jc w:val="left"/>
            </w:pPr>
            <w:r>
              <w:t xml:space="preserve">Professional Title:</w:t>
            </w:r>
          </w:p>
        </w:tc>
        <w:tc>
          <w:tcPr/>
          <w:p>
            <w:pPr>
              <w:pStyle w:val="Compact"/>
              <w:jc w:val="left"/>
            </w:pPr>
            <w:r>
              <w:t xml:space="preserve">Civil Engineer – Structural and Geotechnical Specialist</w:t>
            </w:r>
          </w:p>
        </w:tc>
      </w:tr>
      <w:tr>
        <w:tc>
          <w:tcPr/>
          <w:p>
            <w:pPr>
              <w:pStyle w:val="Compact"/>
              <w:jc w:val="left"/>
            </w:pPr>
            <w:r>
              <w:t xml:space="preserve">Individual Entrepreneur Reg. No.:</w:t>
            </w:r>
          </w:p>
        </w:tc>
        <w:tc>
          <w:tcPr/>
          <w:p>
            <w:pPr>
              <w:pStyle w:val="Compact"/>
              <w:jc w:val="left"/>
            </w:pPr>
            <w:r>
              <w:t xml:space="preserve">IE-2024-ALM-78901</w:t>
            </w:r>
          </w:p>
        </w:tc>
      </w:tr>
      <w:tr>
        <w:tc>
          <w:tcPr/>
          <w:p>
            <w:pPr>
              <w:pStyle w:val="Compact"/>
              <w:jc w:val="left"/>
            </w:pPr>
            <w:r>
              <w:t xml:space="preserve">Address:</w:t>
            </w:r>
          </w:p>
        </w:tc>
        <w:tc>
          <w:tcPr/>
          <w:p>
            <w:pPr>
              <w:pStyle w:val="Compact"/>
              <w:jc w:val="left"/>
            </w:pPr>
            <w:r>
              <w:t xml:space="preserve">18 Abai Avenue, Apt. 204, Almaty, 050000, Kazakhstan</w:t>
            </w:r>
          </w:p>
        </w:tc>
      </w:tr>
      <w:tr>
        <w:tc>
          <w:tcPr/>
          <w:p>
            <w:pPr>
              <w:pStyle w:val="Compact"/>
              <w:jc w:val="left"/>
            </w:pPr>
            <w:r>
              <w:t xml:space="preserve">Professional License:</w:t>
            </w:r>
          </w:p>
        </w:tc>
        <w:tc>
          <w:tcPr/>
          <w:p>
            <w:pPr>
              <w:pStyle w:val="Compact"/>
              <w:jc w:val="left"/>
            </w:pPr>
            <w:r>
              <w:t xml:space="preserve">Ministry of Industry and Construction of Kazakhstan, License No. KZ-CE-2023-4456</w:t>
            </w:r>
          </w:p>
        </w:tc>
      </w:tr>
      <w:tr>
        <w:tc>
          <w:tcPr/>
          <w:p>
            <w:pPr>
              <w:pStyle w:val="Compact"/>
              <w:jc w:val="left"/>
            </w:pPr>
            <w:r>
              <w:t xml:space="preserve">Contact:</w:t>
            </w:r>
          </w:p>
        </w:tc>
        <w:tc>
          <w:tcPr/>
          <w:p>
            <w:pPr>
              <w:pStyle w:val="Compact"/>
              <w:jc w:val="left"/>
            </w:pPr>
            <w:r>
              <w:t xml:space="preserve">a.nurlanova@ce-almaty.kz | +7 (701) 555-88-99</w:t>
            </w:r>
          </w:p>
        </w:tc>
      </w:tr>
    </w:tbl>
    <w:bookmarkEnd w:id="22"/>
    <w:bookmarkStart w:id="23" w:name="description-of-procured-services"/>
    <w:p>
      <w:pPr>
        <w:pStyle w:val="Heading2"/>
      </w:pPr>
      <w:r>
        <w:t xml:space="preserve">3. Description of Procured Services</w:t>
      </w:r>
    </w:p>
    <w:p>
      <w:pPr>
        <w:pStyle w:val="FirstParagraph"/>
      </w:pPr>
      <w:r>
        <w:t xml:space="preserve">This</w:t>
      </w:r>
      <w:r>
        <w:t xml:space="preserve"> </w:t>
      </w:r>
      <w:r>
        <w:t xml:space="preserve">Purchase Order</w:t>
      </w:r>
      <w:r>
        <w:t xml:space="preserve"> </w:t>
      </w:r>
      <w:r>
        <w:t xml:space="preserve">is issued by Almaty Infrastructure Development JSC to formally engage the services of a qualified</w:t>
      </w:r>
      <w:r>
        <w:t xml:space="preserve"> </w:t>
      </w:r>
      <w:r>
        <w:t xml:space="preserve">Civil Engineer</w:t>
      </w:r>
      <w:r>
        <w:t xml:space="preserve"> </w:t>
      </w:r>
      <w:r>
        <w:t xml:space="preserve">for the design, supervision, and technical oversight of the Almaty Metro Extension Phase II project. The</w:t>
      </w:r>
      <w:r>
        <w:t xml:space="preserve"> </w:t>
      </w:r>
      <w:r>
        <w:t xml:space="preserve">Civil Engineer</w:t>
      </w:r>
      <w:r>
        <w:t xml:space="preserve"> </w:t>
      </w:r>
      <w:r>
        <w:t xml:space="preserve">shall provide all professional engineering services in accordance with the Republic of Kazakhstan national building codes, seismic design standards (SNiP 2.07.01-89 as amended), and the specific technical requirements outlined in the attached Scope of Work document (Annex A). All services shall be performed within the administrative boundaries of</w:t>
      </w:r>
      <w:r>
        <w:t xml:space="preserve"> </w:t>
      </w:r>
      <w:r>
        <w:t xml:space="preserve">Kazakhstan Almaty</w:t>
      </w:r>
      <w:r>
        <w:t xml:space="preserve"> </w:t>
      </w:r>
      <w:r>
        <w:t xml:space="preserve">city and its surrounding districts as designated by the project authority.</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Unit</w:t>
            </w:r>
          </w:p>
        </w:tc>
        <w:tc>
          <w:tcPr/>
          <w:p>
            <w:pPr>
              <w:pStyle w:val="Compact"/>
              <w:jc w:val="left"/>
            </w:pPr>
            <w:r>
              <w:t xml:space="preserve">Rate (KZT)</w:t>
            </w:r>
          </w:p>
        </w:tc>
        <w:tc>
          <w:tcPr/>
          <w:p>
            <w:pPr>
              <w:pStyle w:val="Compact"/>
              <w:jc w:val="left"/>
            </w:pPr>
            <w:r>
              <w:t xml:space="preserve">Total (KZT)</w:t>
            </w:r>
          </w:p>
        </w:tc>
      </w:tr>
      <w:tr>
        <w:tc>
          <w:tcPr/>
          <w:p>
            <w:pPr>
              <w:pStyle w:val="Compact"/>
              <w:jc w:val="left"/>
            </w:pPr>
            <w:r>
              <w:t xml:space="preserve">1</w:t>
            </w:r>
          </w:p>
        </w:tc>
        <w:tc>
          <w:tcPr/>
          <w:p>
            <w:pPr>
              <w:pStyle w:val="Compact"/>
              <w:jc w:val="left"/>
            </w:pPr>
            <w:r>
              <w:t xml:space="preserve">Structural design and load analysis for underground tunnel sections (Civil Engineer – Structural)</w:t>
            </w:r>
          </w:p>
        </w:tc>
        <w:tc>
          <w:tcPr/>
          <w:p>
            <w:pPr>
              <w:pStyle w:val="Compact"/>
              <w:jc w:val="left"/>
            </w:pPr>
            <w:r>
              <w:t xml:space="preserve">Months 1–4</w:t>
            </w:r>
          </w:p>
        </w:tc>
        <w:tc>
          <w:tcPr/>
          <w:p>
            <w:pPr>
              <w:pStyle w:val="Compact"/>
              <w:jc w:val="left"/>
            </w:pPr>
            <w:r>
              <w:t xml:space="preserve">Month</w:t>
            </w:r>
          </w:p>
        </w:tc>
        <w:tc>
          <w:tcPr/>
          <w:p>
            <w:pPr>
              <w:pStyle w:val="Compact"/>
              <w:jc w:val="left"/>
            </w:pPr>
            <w:r>
              <w:t xml:space="preserve">4,500,000</w:t>
            </w:r>
          </w:p>
        </w:tc>
        <w:tc>
          <w:tcPr/>
          <w:p>
            <w:pPr>
              <w:pStyle w:val="Compact"/>
              <w:jc w:val="left"/>
            </w:pPr>
            <w:r>
              <w:t xml:space="preserve">18,000,000</w:t>
            </w:r>
          </w:p>
        </w:tc>
      </w:tr>
      <w:tr>
        <w:tc>
          <w:tcPr/>
          <w:p>
            <w:pPr>
              <w:pStyle w:val="Compact"/>
              <w:jc w:val="left"/>
            </w:pPr>
            <w:r>
              <w:t xml:space="preserve">2</w:t>
            </w:r>
          </w:p>
        </w:tc>
        <w:tc>
          <w:tcPr/>
          <w:p>
            <w:pPr>
              <w:pStyle w:val="Compact"/>
              <w:jc w:val="left"/>
            </w:pPr>
            <w:r>
              <w:t xml:space="preserve">Geotechnical investigation supervision and soil stability assessment (Civil Engineer – Geotechnical)</w:t>
            </w:r>
          </w:p>
        </w:tc>
        <w:tc>
          <w:tcPr/>
          <w:p>
            <w:pPr>
              <w:pStyle w:val="Compact"/>
              <w:jc w:val="left"/>
            </w:pPr>
            <w:r>
              <w:t xml:space="preserve">Months 2–5</w:t>
            </w:r>
          </w:p>
        </w:tc>
        <w:tc>
          <w:tcPr/>
          <w:p>
            <w:pPr>
              <w:pStyle w:val="Compact"/>
              <w:jc w:val="left"/>
            </w:pPr>
            <w:r>
              <w:t xml:space="preserve">Month</w:t>
            </w:r>
          </w:p>
        </w:tc>
        <w:tc>
          <w:tcPr/>
          <w:p>
            <w:pPr>
              <w:pStyle w:val="Compact"/>
              <w:jc w:val="left"/>
            </w:pPr>
            <w:r>
              <w:t xml:space="preserve">3,800,000</w:t>
            </w:r>
          </w:p>
        </w:tc>
        <w:tc>
          <w:tcPr/>
          <w:p>
            <w:pPr>
              <w:pStyle w:val="Compact"/>
              <w:jc w:val="left"/>
            </w:pPr>
            <w:r>
              <w:t xml:space="preserve">15,200,000</w:t>
            </w:r>
          </w:p>
        </w:tc>
      </w:tr>
      <w:tr>
        <w:tc>
          <w:tcPr/>
          <w:p>
            <w:pPr>
              <w:pStyle w:val="Compact"/>
              <w:jc w:val="left"/>
            </w:pPr>
            <w:r>
              <w:t xml:space="preserve">3</w:t>
            </w:r>
          </w:p>
        </w:tc>
        <w:tc>
          <w:tcPr/>
          <w:p>
            <w:pPr>
              <w:pStyle w:val="Compact"/>
              <w:jc w:val="left"/>
            </w:pPr>
            <w:r>
              <w:t xml:space="preserve">On-site construction supervision and quality assurance at Kazakhstan Almaty project site</w:t>
            </w:r>
          </w:p>
        </w:tc>
        <w:tc>
          <w:tcPr/>
          <w:p>
            <w:pPr>
              <w:pStyle w:val="Compact"/>
              <w:jc w:val="left"/>
            </w:pPr>
            <w:r>
              <w:t xml:space="preserve">Months 4–14</w:t>
            </w:r>
          </w:p>
        </w:tc>
        <w:tc>
          <w:tcPr/>
          <w:p>
            <w:pPr>
              <w:pStyle w:val="Compact"/>
              <w:jc w:val="left"/>
            </w:pPr>
            <w:r>
              <w:t xml:space="preserve">Month</w:t>
            </w:r>
          </w:p>
        </w:tc>
        <w:tc>
          <w:tcPr/>
          <w:p>
            <w:pPr>
              <w:pStyle w:val="Compact"/>
              <w:jc w:val="left"/>
            </w:pPr>
            <w:r>
              <w:t xml:space="preserve">5,200,000</w:t>
            </w:r>
          </w:p>
        </w:tc>
        <w:tc>
          <w:tcPr/>
          <w:p>
            <w:pPr>
              <w:pStyle w:val="Compact"/>
              <w:jc w:val="left"/>
            </w:pPr>
            <w:r>
              <w:t xml:space="preserve">57,200,000</w:t>
            </w:r>
          </w:p>
        </w:tc>
      </w:tr>
      <w:tr>
        <w:tc>
          <w:tcPr/>
          <w:p>
            <w:pPr>
              <w:pStyle w:val="Compact"/>
              <w:jc w:val="left"/>
            </w:pPr>
            <w:r>
              <w:t xml:space="preserve">4</w:t>
            </w:r>
          </w:p>
        </w:tc>
        <w:tc>
          <w:tcPr/>
          <w:p>
            <w:pPr>
              <w:pStyle w:val="Compact"/>
              <w:jc w:val="left"/>
            </w:pPr>
            <w:r>
              <w:t xml:space="preserve">Seismic compliance review and structural retrofitting recommendations</w:t>
            </w:r>
          </w:p>
        </w:tc>
        <w:tc>
          <w:tcPr/>
          <w:p>
            <w:pPr>
              <w:pStyle w:val="Compact"/>
              <w:jc w:val="left"/>
            </w:pPr>
            <w:r>
              <w:t xml:space="preserve">Months 6–8</w:t>
            </w:r>
          </w:p>
        </w:tc>
        <w:tc>
          <w:tcPr/>
          <w:p>
            <w:pPr>
              <w:pStyle w:val="Compact"/>
              <w:jc w:val="left"/>
            </w:pPr>
            <w:r>
              <w:t xml:space="preserve">Month</w:t>
            </w:r>
          </w:p>
        </w:tc>
        <w:tc>
          <w:tcPr/>
          <w:p>
            <w:pPr>
              <w:pStyle w:val="Compact"/>
              <w:jc w:val="left"/>
            </w:pPr>
            <w:r>
              <w:t xml:space="preserve">4,100,000</w:t>
            </w:r>
          </w:p>
        </w:tc>
        <w:tc>
          <w:tcPr/>
          <w:p>
            <w:pPr>
              <w:pStyle w:val="Compact"/>
              <w:jc w:val="left"/>
            </w:pPr>
            <w:r>
              <w:t xml:space="preserve">12,300,000</w:t>
            </w:r>
          </w:p>
        </w:tc>
      </w:tr>
      <w:tr>
        <w:tc>
          <w:tcPr/>
          <w:p>
            <w:pPr>
              <w:pStyle w:val="Compact"/>
              <w:jc w:val="left"/>
            </w:pPr>
            <w:r>
              <w:t xml:space="preserve">5</w:t>
            </w:r>
          </w:p>
        </w:tc>
        <w:tc>
          <w:tcPr/>
          <w:p>
            <w:pPr>
              <w:pStyle w:val="Compact"/>
              <w:jc w:val="left"/>
            </w:pPr>
            <w:r>
              <w:t xml:space="preserve">Final as-built documentation, commissioning reports, and handover to Kazakhstan Almaty municipal authority</w:t>
            </w:r>
          </w:p>
        </w:tc>
        <w:tc>
          <w:tcPr/>
          <w:p>
            <w:pPr>
              <w:pStyle w:val="Compact"/>
              <w:jc w:val="left"/>
            </w:pPr>
            <w:r>
              <w:t xml:space="preserve">Months 14–16</w:t>
            </w:r>
          </w:p>
        </w:tc>
        <w:tc>
          <w:tcPr/>
          <w:p>
            <w:pPr>
              <w:pStyle w:val="Compact"/>
              <w:jc w:val="left"/>
            </w:pPr>
            <w:r>
              <w:t xml:space="preserve">Month</w:t>
            </w:r>
          </w:p>
        </w:tc>
        <w:tc>
          <w:tcPr/>
          <w:p>
            <w:pPr>
              <w:pStyle w:val="Compact"/>
              <w:jc w:val="left"/>
            </w:pPr>
            <w:r>
              <w:t xml:space="preserve">3,500,000</w:t>
            </w:r>
          </w:p>
        </w:tc>
        <w:tc>
          <w:tcPr/>
          <w:p>
            <w:pPr>
              <w:pStyle w:val="Compact"/>
              <w:jc w:val="left"/>
            </w:pPr>
            <w:r>
              <w:t xml:space="preserve">7,000,000</w:t>
            </w:r>
          </w:p>
        </w:tc>
      </w:tr>
      <w:tr>
        <w:tc>
          <w:tcPr>
            <w:gridSpan w:val="5"/>
          </w:tcPr>
          <w:p>
            <w:pPr>
              <w:pStyle w:val="Compact"/>
              <w:jc w:val="left"/>
            </w:pPr>
            <w:r>
              <w:t xml:space="preserve">TOTAL CONTRACT VALUE (excluding VAT 12%)</w:t>
            </w:r>
          </w:p>
        </w:tc>
        <w:tc>
          <w:tcPr/>
          <w:p>
            <w:pPr>
              <w:pStyle w:val="Compact"/>
              <w:jc w:val="left"/>
            </w:pPr>
            <w:r>
              <w:t xml:space="preserve">109,700,000</w:t>
            </w:r>
          </w:p>
        </w:tc>
      </w:tr>
      <w:tr>
        <w:tc>
          <w:tcPr>
            <w:gridSpan w:val="5"/>
          </w:tcPr>
          <w:p>
            <w:pPr>
              <w:pStyle w:val="Compact"/>
              <w:jc w:val="left"/>
            </w:pPr>
            <w:r>
              <w:t xml:space="preserve">VAT (12%)</w:t>
            </w:r>
          </w:p>
        </w:tc>
        <w:tc>
          <w:tcPr/>
          <w:p>
            <w:pPr>
              <w:pStyle w:val="Compact"/>
              <w:jc w:val="left"/>
            </w:pPr>
            <w:r>
              <w:t xml:space="preserve">13,164,000</w:t>
            </w:r>
          </w:p>
        </w:tc>
      </w:tr>
      <w:tr>
        <w:tc>
          <w:tcPr>
            <w:gridSpan w:val="5"/>
          </w:tcPr>
          <w:p>
            <w:pPr>
              <w:pStyle w:val="Compact"/>
              <w:jc w:val="left"/>
            </w:pPr>
            <w:r>
              <w:t xml:space="preserve">GRAND TOTAL</w:t>
            </w:r>
          </w:p>
        </w:tc>
        <w:tc>
          <w:tcPr/>
          <w:p>
            <w:pPr>
              <w:pStyle w:val="Compact"/>
              <w:jc w:val="left"/>
            </w:pPr>
            <w:r>
              <w:t xml:space="preserve">122,864,000 KZT</w:t>
            </w:r>
          </w:p>
        </w:tc>
      </w:tr>
    </w:tbl>
    <w:bookmarkEnd w:id="23"/>
    <w:bookmarkStart w:id="24" w:name="terms-and-conditions"/>
    <w:p>
      <w:pPr>
        <w:pStyle w:val="Heading2"/>
      </w:pPr>
      <w:r>
        <w:t xml:space="preserve">4. Terms and Conditions</w:t>
      </w:r>
    </w:p>
    <w:p>
      <w:pPr>
        <w:numPr>
          <w:ilvl w:val="0"/>
          <w:numId w:val="1001"/>
        </w:numPr>
        <w:pStyle w:val="Compact"/>
      </w:pPr>
      <w:r>
        <w:rPr>
          <w:bCs/>
          <w:b/>
        </w:rPr>
        <w:t xml:space="preserve">Scope and Standards:</w:t>
      </w:r>
      <w:r>
        <w:t xml:space="preserve"> </w:t>
      </w:r>
      <w:r>
        <w:t xml:space="preserve">The</w:t>
      </w:r>
      <w:r>
        <w:t xml:space="preserve"> </w:t>
      </w:r>
      <w:r>
        <w:t xml:space="preserve">Civil Engineer</w:t>
      </w:r>
      <w:r>
        <w:t xml:space="preserve"> </w:t>
      </w:r>
      <w:r>
        <w:t xml:space="preserve">shall perform all duties in strict compliance with the Kazakhstan national standards (GOST and SNiP), the Almaty city zoning regulations, and the specific project specifications. Any deviation from the approved design shall require written amendment to this</w:t>
      </w:r>
      <w:r>
        <w:t xml:space="preserve"> </w:t>
      </w:r>
      <w:r>
        <w:t xml:space="preserve">Purchase Order</w:t>
      </w:r>
      <w:r>
        <w:t xml:space="preserve">.</w:t>
      </w:r>
    </w:p>
    <w:p>
      <w:pPr>
        <w:numPr>
          <w:ilvl w:val="0"/>
          <w:numId w:val="1001"/>
        </w:numPr>
        <w:pStyle w:val="Compact"/>
      </w:pPr>
      <w:r>
        <w:rPr>
          <w:bCs/>
          <w:b/>
        </w:rPr>
        <w:t xml:space="preserve">Payment Schedule:</w:t>
      </w:r>
      <w:r>
        <w:t xml:space="preserve"> </w:t>
      </w:r>
      <w:r>
        <w:t xml:space="preserve">Payment shall be made in monthly installments within 30 calendar days of receipt of an approved invoice. The first payment of 15% (KZT 18,429,600) shall be due upon execution of this</w:t>
      </w:r>
      <w:r>
        <w:t xml:space="preserve"> </w:t>
      </w:r>
      <w:r>
        <w:t xml:space="preserve">Purchase Order</w:t>
      </w:r>
      <w:r>
        <w:t xml:space="preserve">. Subsequent payments shall be released upon milestone completion certified by the project manager.</w:t>
      </w:r>
    </w:p>
    <w:p>
      <w:pPr>
        <w:numPr>
          <w:ilvl w:val="0"/>
          <w:numId w:val="1001"/>
        </w:numPr>
        <w:pStyle w:val="Compact"/>
      </w:pPr>
      <w:r>
        <w:rPr>
          <w:bCs/>
          <w:b/>
        </w:rPr>
        <w:t xml:space="preserve">Performance Bond:</w:t>
      </w:r>
      <w:r>
        <w:t xml:space="preserve"> </w:t>
      </w:r>
      <w:r>
        <w:t xml:space="preserve">The</w:t>
      </w:r>
      <w:r>
        <w:t xml:space="preserve"> </w:t>
      </w:r>
      <w:r>
        <w:t xml:space="preserve">Civil Engineer</w:t>
      </w:r>
      <w:r>
        <w:t xml:space="preserve"> </w:t>
      </w:r>
      <w:r>
        <w:t xml:space="preserve">shall provide a performance bond equivalent to 10% of the total contract value, issued by a licensed bank operating in Kazakhstan, to be held by the Buyer for the duration of the project plus 12 months.</w:t>
      </w:r>
    </w:p>
    <w:p>
      <w:pPr>
        <w:numPr>
          <w:ilvl w:val="0"/>
          <w:numId w:val="1001"/>
        </w:numPr>
        <w:pStyle w:val="Compact"/>
      </w:pPr>
      <w:r>
        <w:rPr>
          <w:bCs/>
          <w:b/>
        </w:rPr>
        <w:t xml:space="preserve">Insurance:</w:t>
      </w:r>
      <w:r>
        <w:t xml:space="preserve"> </w:t>
      </w:r>
      <w:r>
        <w:t xml:space="preserve">The</w:t>
      </w:r>
      <w:r>
        <w:t xml:space="preserve"> </w:t>
      </w:r>
      <w:r>
        <w:t xml:space="preserve">Civil Engineer</w:t>
      </w:r>
      <w:r>
        <w:t xml:space="preserve"> </w:t>
      </w:r>
      <w:r>
        <w:t xml:space="preserve">shall maintain professional liability insurance with a minimum coverage of KZT 50,000,000, valid throughout the project period in</w:t>
      </w:r>
      <w:r>
        <w:t xml:space="preserve"> </w:t>
      </w:r>
      <w:r>
        <w:t xml:space="preserve">Kazakhstan Almaty</w:t>
      </w:r>
      <w:r>
        <w:t xml:space="preserve">.</w:t>
      </w:r>
    </w:p>
    <w:p>
      <w:pPr>
        <w:numPr>
          <w:ilvl w:val="0"/>
          <w:numId w:val="1001"/>
        </w:numPr>
        <w:pStyle w:val="Compact"/>
      </w:pPr>
      <w:r>
        <w:rPr>
          <w:bCs/>
          <w:b/>
        </w:rPr>
        <w:t xml:space="preserve">Intellectual Property:</w:t>
      </w:r>
      <w:r>
        <w:t xml:space="preserve"> </w:t>
      </w:r>
      <w:r>
        <w:t xml:space="preserve">All design documents, calculations, reports, and drawings produced under this</w:t>
      </w:r>
      <w:r>
        <w:t xml:space="preserve"> </w:t>
      </w:r>
      <w:r>
        <w:t xml:space="preserve">Purchase Order</w:t>
      </w:r>
      <w:r>
        <w:t xml:space="preserve"> </w:t>
      </w:r>
      <w:r>
        <w:t xml:space="preserve">shall become the exclusive property of Almaty Infrastructure Development JSC upon full payment.</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60 days written notice. In the event of termination for convenience, the</w:t>
      </w:r>
      <w:r>
        <w:t xml:space="preserve"> </w:t>
      </w:r>
      <w:r>
        <w:t xml:space="preserve">Civil Engineer</w:t>
      </w:r>
      <w:r>
        <w:t xml:space="preserve"> </w:t>
      </w:r>
      <w:r>
        <w:t xml:space="preserve">shall be compensated for all work completed and documented up to the termination date.</w:t>
      </w:r>
    </w:p>
    <w:p>
      <w:pPr>
        <w:numPr>
          <w:ilvl w:val="0"/>
          <w:numId w:val="1001"/>
        </w:numPr>
        <w:pStyle w:val="Compact"/>
      </w:pPr>
      <w:r>
        <w:rPr>
          <w:bCs/>
          <w:b/>
        </w:rPr>
        <w:t xml:space="preserve">Dispute Resolution:</w:t>
      </w:r>
      <w:r>
        <w:t xml:space="preserve"> </w:t>
      </w:r>
      <w:r>
        <w:t xml:space="preserve">Any disputes arising from this</w:t>
      </w:r>
      <w:r>
        <w:t xml:space="preserve"> </w:t>
      </w:r>
      <w:r>
        <w:t xml:space="preserve">Purchase Order</w:t>
      </w:r>
      <w:r>
        <w:t xml:space="preserve"> </w:t>
      </w:r>
      <w:r>
        <w:t xml:space="preserve">shall first be subject to mediation in</w:t>
      </w:r>
      <w:r>
        <w:t xml:space="preserve"> </w:t>
      </w:r>
      <w:r>
        <w:t xml:space="preserve">Kazakhstan Almaty</w:t>
      </w:r>
      <w:r>
        <w:t xml:space="preserve">. If unresolved within 30 days, the matter shall be referred to the Arbitration Court of Almaty City, Republic of Kazakhstan.</w:t>
      </w:r>
    </w:p>
    <w:p>
      <w:pPr>
        <w:numPr>
          <w:ilvl w:val="0"/>
          <w:numId w:val="1001"/>
        </w:numPr>
        <w:pStyle w:val="Compact"/>
      </w:pPr>
      <w:r>
        <w:rPr>
          <w:bCs/>
          <w:b/>
        </w:rPr>
        <w:t xml:space="preserve">Compliance:</w:t>
      </w:r>
      <w:r>
        <w:t xml:space="preserve"> </w:t>
      </w:r>
      <w:r>
        <w:t xml:space="preserve">The</w:t>
      </w:r>
      <w:r>
        <w:t xml:space="preserve"> </w:t>
      </w:r>
      <w:r>
        <w:t xml:space="preserve">Civil Engineer</w:t>
      </w:r>
      <w:r>
        <w:t xml:space="preserve"> </w:t>
      </w:r>
      <w:r>
        <w:t xml:space="preserve">warrants that all services shall comply with the anti-corruption legislation of the Republic of Kazakhstan and the labor regulations applicable in</w:t>
      </w:r>
      <w:r>
        <w:t xml:space="preserve"> </w:t>
      </w:r>
      <w:r>
        <w:t xml:space="preserve">Kazakhstan Almaty</w:t>
      </w:r>
      <w:r>
        <w:t xml:space="preserve">.</w:t>
      </w:r>
    </w:p>
    <w:bookmarkEnd w:id="24"/>
    <w:bookmarkStart w:id="25" w:name="acceptance-and-authorization"/>
    <w:p>
      <w:pPr>
        <w:pStyle w:val="Heading2"/>
      </w:pPr>
      <w:r>
        <w:t xml:space="preserve">5. Acceptance and Authorization</w:t>
      </w:r>
    </w:p>
    <w:p>
      <w:pPr>
        <w:pStyle w:val="FirstParagraph"/>
      </w:pPr>
      <w:r>
        <w:t xml:space="preserve">By signing below, both parties acknowledge that this</w:t>
      </w:r>
      <w:r>
        <w:t xml:space="preserve"> </w:t>
      </w:r>
      <w:r>
        <w:t xml:space="preserve">Purchase Order</w:t>
      </w:r>
      <w:r>
        <w:t xml:space="preserve"> </w:t>
      </w:r>
      <w:r>
        <w:t xml:space="preserve">constitutes a binding agreement for the procurement of</w:t>
      </w:r>
      <w:r>
        <w:t xml:space="preserve"> </w:t>
      </w:r>
      <w:r>
        <w:t xml:space="preserve">Civil Engineer</w:t>
      </w:r>
      <w:r>
        <w:t xml:space="preserve"> </w:t>
      </w:r>
      <w:r>
        <w:t xml:space="preserve">professional services in</w:t>
      </w:r>
      <w:r>
        <w:t xml:space="preserve"> </w:t>
      </w:r>
      <w:r>
        <w:t xml:space="preserve">Kazakhstan Almaty</w:t>
      </w:r>
      <w:r>
        <w:t xml:space="preserve">, and that all terms, conditions, and specifications herein have been reviewed and accepted in full.</w:t>
      </w:r>
    </w:p>
    <w:p>
      <w:pPr>
        <w:pStyle w:val="BodyText"/>
      </w:pPr>
      <w:r>
        <w:rPr>
          <w:bCs/>
          <w:b/>
        </w:rPr>
        <w:t xml:space="preserve">For and on behalf of the Buyer:</w:t>
      </w:r>
    </w:p>
    <w:p>
      <w:pPr>
        <w:pStyle w:val="BodyText"/>
      </w:pPr>
      <w:r>
        <w:t xml:space="preserve">Name: Tolkyn Aitbekov</w:t>
      </w:r>
    </w:p>
    <w:p>
      <w:pPr>
        <w:pStyle w:val="BodyText"/>
      </w:pPr>
      <w:r>
        <w:t xml:space="preserve">Title: Chief Procurement Officer</w:t>
      </w:r>
    </w:p>
    <w:p>
      <w:pPr>
        <w:pStyle w:val="BodyText"/>
      </w:pPr>
      <w:r>
        <w:t xml:space="preserve">Company: Almaty Infrastructure Development JSC</w:t>
      </w:r>
    </w:p>
    <w:p>
      <w:pPr>
        <w:pStyle w:val="BodyText"/>
      </w:pPr>
      <w:r>
        <w:t xml:space="preserve">Signature: _________________________</w:t>
      </w:r>
    </w:p>
    <w:p>
      <w:pPr>
        <w:pStyle w:val="BodyText"/>
      </w:pPr>
      <w:r>
        <w:t xml:space="preserve">Date: _________________________</w:t>
      </w:r>
    </w:p>
    <w:p>
      <w:pPr>
        <w:pStyle w:val="BodyText"/>
      </w:pPr>
      <w:r>
        <w:t xml:space="preserve">Company Seal:</w:t>
      </w:r>
    </w:p>
    <w:p>
      <w:pPr>
        <w:pStyle w:val="BodyText"/>
      </w:pPr>
      <w:r>
        <w:rPr>
          <w:bCs/>
          <w:b/>
        </w:rPr>
        <w:t xml:space="preserve">For and on behalf of the Civil Engineer:</w:t>
      </w:r>
    </w:p>
    <w:p>
      <w:pPr>
        <w:pStyle w:val="BodyText"/>
      </w:pPr>
      <w:r>
        <w:t xml:space="preserve">Name: Aigerim Nurlanova, P.Eng.</w:t>
      </w:r>
    </w:p>
    <w:p>
      <w:pPr>
        <w:pStyle w:val="BodyText"/>
      </w:pPr>
      <w:r>
        <w:t xml:space="preserve">Title: Civil Engineer – Structural &amp; Geotechnical</w:t>
      </w:r>
    </w:p>
    <w:p>
      <w:pPr>
        <w:pStyle w:val="BodyText"/>
      </w:pPr>
      <w:r>
        <w:t xml:space="preserve">IE Reg. No.: IE-2024-ALM-78901</w:t>
      </w:r>
    </w:p>
    <w:p>
      <w:pPr>
        <w:pStyle w:val="BodyText"/>
      </w:pPr>
      <w:r>
        <w:t xml:space="preserve">Signature: _________________________</w:t>
      </w:r>
    </w:p>
    <w:p>
      <w:pPr>
        <w:pStyle w:val="BodyText"/>
      </w:pPr>
      <w:r>
        <w:t xml:space="preserve">Date: _________________________</w:t>
      </w:r>
    </w:p>
    <w:p>
      <w:pPr>
        <w:pStyle w:val="BodyText"/>
      </w:pPr>
      <w:r>
        <w:t xml:space="preserve">Personal Seal:</w:t>
      </w:r>
    </w:p>
    <w:p>
      <w:pPr>
        <w:pStyle w:val="BodyText"/>
      </w:pPr>
      <w:r>
        <w:t xml:space="preserve">This Purchase Order (PO No. KZ-ALM-2025-CE-0047) is issued under the procurement policies of Almaty Infrastructure Development JSC and the public procurement regulations of the Republic of Kazakhstan. All services are to be rendered in Kazakhstan Almaty. This document is valid for a period of 30 days from the date of issue. Unauthorized reproduction or distribution of this Purchase Order is prohibited.</w:t>
      </w:r>
    </w:p>
    <w:p>
      <w:pPr>
        <w:pStyle w:val="BodyText"/>
      </w:pPr>
      <w:r>
        <w:t xml:space="preserve">Document Reference: KZ-ALM-2025-CE-0047 | Page 1 of 1 | Issued: 15 June 2025</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Civil Engineer Services - Kazakhstan Almaty</dc:title>
  <dc:creator/>
  <dc:language>en</dc:language>
  <cp:keywords/>
  <dcterms:created xsi:type="dcterms:W3CDTF">2026-10-10T07:01:10Z</dcterms:created>
  <dcterms:modified xsi:type="dcterms:W3CDTF">2026-10-10T07:01:10Z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