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Civil Engineering Division</w:t>
      </w:r>
    </w:p>
    <w:p>
      <w:pPr>
        <w:pStyle w:val="BodyText"/>
      </w:pPr>
      <w:r>
        <w:t xml:space="preserve">OFFICIAL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PO-2025-LA-04782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August 1, 2025</w:t>
            </w:r>
          </w:p>
        </w:tc>
      </w:tr>
      <w:tr>
        <w:tc>
          <w:tcPr/>
          <w:p>
            <w:pPr>
              <w:pStyle w:val="Compact"/>
              <w:jc w:val="left"/>
            </w:pPr>
            <w:r>
              <w:t xml:space="preserve">Valid Until:</w:t>
            </w:r>
          </w:p>
        </w:tc>
        <w:tc>
          <w:tcPr/>
          <w:p>
            <w:pPr>
              <w:pStyle w:val="Compact"/>
              <w:jc w:val="left"/>
            </w:pPr>
            <w:r>
              <w:t xml:space="preserve">July 12,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LA-MUNI-2025-031</w:t>
            </w:r>
          </w:p>
        </w:tc>
      </w:tr>
      <w:tr>
        <w:tc>
          <w:tcPr/>
          <w:p>
            <w:pPr>
              <w:pStyle w:val="Compact"/>
              <w:jc w:val="left"/>
            </w:pPr>
            <w:r>
              <w:t xml:space="preserve">Department:</w:t>
            </w:r>
          </w:p>
        </w:tc>
        <w:tc>
          <w:tcPr/>
          <w:p>
            <w:pPr>
              <w:pStyle w:val="Compact"/>
              <w:jc w:val="left"/>
            </w:pPr>
            <w:r>
              <w:t xml:space="preserve">Infrastructure &amp; Development</w:t>
            </w:r>
          </w:p>
        </w:tc>
      </w:tr>
      <w:tr>
        <w:tc>
          <w:tcPr/>
          <w:p>
            <w:pPr>
              <w:pStyle w:val="Compact"/>
              <w:jc w:val="left"/>
            </w:pPr>
            <w:r>
              <w:t xml:space="preserve">Location:</w:t>
            </w:r>
          </w:p>
        </w:tc>
        <w:tc>
          <w:tcPr/>
          <w:p>
            <w:pPr>
              <w:pStyle w:val="Compact"/>
              <w:jc w:val="left"/>
            </w:pPr>
            <w:r>
              <w:t xml:space="preserve">Los Angeles, California, United States</w:t>
            </w:r>
          </w:p>
        </w:tc>
      </w:tr>
      <w:tr>
        <w:tc>
          <w:tcPr/>
          <w:p>
            <w:pPr>
              <w:pStyle w:val="Compact"/>
              <w:jc w:val="left"/>
            </w:pPr>
            <w:r>
              <w:t xml:space="preserve">Priority:</w:t>
            </w:r>
          </w:p>
        </w:tc>
        <w:tc>
          <w:tcPr/>
          <w:p>
            <w:pPr>
              <w:pStyle w:val="Compact"/>
              <w:jc w:val="left"/>
            </w:pPr>
            <w:r>
              <w:t xml:space="preserve">High</w:t>
            </w:r>
          </w:p>
        </w:tc>
      </w:tr>
    </w:tbl>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Los Angeles Metropolitan Infrastructure Authority (LAMIA)</w:t>
            </w:r>
          </w:p>
        </w:tc>
      </w:tr>
      <w:tr>
        <w:tc>
          <w:tcPr/>
          <w:p>
            <w:pPr>
              <w:pStyle w:val="Compact"/>
              <w:jc w:val="left"/>
            </w:pPr>
            <w:r>
              <w:t xml:space="preserve">Address:</w:t>
            </w:r>
          </w:p>
        </w:tc>
        <w:tc>
          <w:tcPr/>
          <w:p>
            <w:pPr>
              <w:pStyle w:val="Compact"/>
              <w:jc w:val="left"/>
            </w:pPr>
            <w:r>
              <w:t xml:space="preserve">200 N. Spring Street, Suite 1400, Los Angeles, CA 90012, United States</w:t>
            </w:r>
          </w:p>
        </w:tc>
      </w:tr>
      <w:tr>
        <w:tc>
          <w:tcPr/>
          <w:p>
            <w:pPr>
              <w:pStyle w:val="Compact"/>
              <w:jc w:val="left"/>
            </w:pPr>
            <w:r>
              <w:t xml:space="preserve">Contact Person:</w:t>
            </w:r>
          </w:p>
        </w:tc>
        <w:tc>
          <w:tcPr/>
          <w:p>
            <w:pPr>
              <w:pStyle w:val="Compact"/>
              <w:jc w:val="left"/>
            </w:pPr>
            <w:r>
              <w:t xml:space="preserve">Ms. Diane R. Whitfield, Director of Procurement</w:t>
            </w:r>
          </w:p>
        </w:tc>
      </w:tr>
      <w:tr>
        <w:tc>
          <w:tcPr/>
          <w:p>
            <w:pPr>
              <w:pStyle w:val="Compact"/>
              <w:jc w:val="left"/>
            </w:pPr>
            <w:r>
              <w:t xml:space="preserve">Phone:</w:t>
            </w:r>
          </w:p>
        </w:tc>
        <w:tc>
          <w:tcPr/>
          <w:p>
            <w:pPr>
              <w:pStyle w:val="Compact"/>
              <w:jc w:val="left"/>
            </w:pPr>
            <w:r>
              <w:t xml:space="preserve">+1 (213) 555-0147</w:t>
            </w:r>
          </w:p>
        </w:tc>
      </w:tr>
      <w:tr>
        <w:tc>
          <w:tcPr/>
          <w:p>
            <w:pPr>
              <w:pStyle w:val="Compact"/>
              <w:jc w:val="left"/>
            </w:pPr>
            <w:r>
              <w:t xml:space="preserve">Email:</w:t>
            </w:r>
          </w:p>
        </w:tc>
        <w:tc>
          <w:tcPr/>
          <w:p>
            <w:pPr>
              <w:pStyle w:val="Compact"/>
              <w:jc w:val="left"/>
            </w:pPr>
            <w:r>
              <w:t xml:space="preserve">procurement@lamia-la.gov</w:t>
            </w:r>
          </w:p>
        </w:tc>
      </w:tr>
      <w:tr>
        <w:tc>
          <w:tcPr/>
          <w:p>
            <w:pPr>
              <w:pStyle w:val="Compact"/>
              <w:jc w:val="left"/>
            </w:pPr>
            <w:r>
              <w:t xml:space="preserve">Tax ID (EIN):</w:t>
            </w:r>
          </w:p>
        </w:tc>
        <w:tc>
          <w:tcPr/>
          <w:p>
            <w:pPr>
              <w:pStyle w:val="Compact"/>
              <w:jc w:val="left"/>
            </w:pPr>
            <w:r>
              <w:t xml:space="preserve">94-2847163</w:t>
            </w:r>
          </w:p>
        </w:tc>
      </w:tr>
    </w:tbl>
    <w:bookmarkEnd w:id="21"/>
    <w:bookmarkStart w:id="22"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Firm Name:</w:t>
            </w:r>
          </w:p>
        </w:tc>
        <w:tc>
          <w:tcPr/>
          <w:p>
            <w:pPr>
              <w:pStyle w:val="Compact"/>
              <w:jc w:val="left"/>
            </w:pPr>
            <w:r>
              <w:t xml:space="preserve">Meridian Civil Engineering Group, LLC</w:t>
            </w:r>
          </w:p>
        </w:tc>
      </w:tr>
      <w:tr>
        <w:tc>
          <w:tcPr/>
          <w:p>
            <w:pPr>
              <w:pStyle w:val="Compact"/>
              <w:jc w:val="left"/>
            </w:pPr>
            <w:r>
              <w:t xml:space="preserve">Lead Civil Engineer:</w:t>
            </w:r>
          </w:p>
        </w:tc>
        <w:tc>
          <w:tcPr/>
          <w:p>
            <w:pPr>
              <w:pStyle w:val="Compact"/>
              <w:jc w:val="left"/>
            </w:pPr>
            <w:r>
              <w:t xml:space="preserve">Mr. Jonathan A. Reyes, P.E. (California License No. C-184729)</w:t>
            </w:r>
          </w:p>
        </w:tc>
      </w:tr>
      <w:tr>
        <w:tc>
          <w:tcPr/>
          <w:p>
            <w:pPr>
              <w:pStyle w:val="Compact"/>
              <w:jc w:val="left"/>
            </w:pPr>
            <w:r>
              <w:t xml:space="preserve">Address:</w:t>
            </w:r>
          </w:p>
        </w:tc>
        <w:tc>
          <w:tcPr/>
          <w:p>
            <w:pPr>
              <w:pStyle w:val="Compact"/>
              <w:jc w:val="left"/>
            </w:pPr>
            <w:r>
              <w:t xml:space="preserve">4500 Wilshire Boulevard, Floor 8, Los Angeles, CA 90016, United States</w:t>
            </w:r>
          </w:p>
        </w:tc>
      </w:tr>
      <w:tr>
        <w:tc>
          <w:tcPr/>
          <w:p>
            <w:pPr>
              <w:pStyle w:val="Compact"/>
              <w:jc w:val="left"/>
            </w:pPr>
            <w:r>
              <w:t xml:space="preserve">Phone:</w:t>
            </w:r>
          </w:p>
        </w:tc>
        <w:tc>
          <w:tcPr/>
          <w:p>
            <w:pPr>
              <w:pStyle w:val="Compact"/>
              <w:jc w:val="left"/>
            </w:pPr>
            <w:r>
              <w:t xml:space="preserve">+1 (323) 555-0892</w:t>
            </w:r>
          </w:p>
        </w:tc>
      </w:tr>
      <w:tr>
        <w:tc>
          <w:tcPr/>
          <w:p>
            <w:pPr>
              <w:pStyle w:val="Compact"/>
              <w:jc w:val="left"/>
            </w:pPr>
            <w:r>
              <w:t xml:space="preserve">Email:</w:t>
            </w:r>
          </w:p>
        </w:tc>
        <w:tc>
          <w:tcPr/>
          <w:p>
            <w:pPr>
              <w:pStyle w:val="Compact"/>
              <w:jc w:val="left"/>
            </w:pPr>
            <w:r>
              <w:t xml:space="preserve">j.reyes@meridiancivil.com</w:t>
            </w:r>
          </w:p>
        </w:tc>
      </w:tr>
      <w:tr>
        <w:tc>
          <w:tcPr/>
          <w:p>
            <w:pPr>
              <w:pStyle w:val="Compact"/>
              <w:jc w:val="left"/>
            </w:pPr>
            <w:r>
              <w:t xml:space="preserve">Tax ID (EIN):</w:t>
            </w:r>
          </w:p>
        </w:tc>
        <w:tc>
          <w:tcPr/>
          <w:p>
            <w:pPr>
              <w:pStyle w:val="Compact"/>
              <w:jc w:val="left"/>
            </w:pPr>
            <w:r>
              <w:t xml:space="preserve">82-5531907</w:t>
            </w:r>
          </w:p>
        </w:tc>
      </w:tr>
      <w:tr>
        <w:tc>
          <w:tcPr/>
          <w:p>
            <w:pPr>
              <w:pStyle w:val="Compact"/>
              <w:jc w:val="left"/>
            </w:pPr>
            <w:r>
              <w:t xml:space="preserve">CA Contractor License:</w:t>
            </w:r>
          </w:p>
        </w:tc>
        <w:tc>
          <w:tcPr/>
          <w:p>
            <w:pPr>
              <w:pStyle w:val="Compact"/>
              <w:jc w:val="left"/>
            </w:pPr>
            <w:r>
              <w:t xml:space="preserve">CSLB #987654</w:t>
            </w:r>
          </w:p>
        </w:tc>
      </w:tr>
    </w:tbl>
    <w:bookmarkEnd w:id="22"/>
    <w:bookmarkStart w:id="23" w:name="Xa67848967b79825921bc43d287a2002807dcdfa"/>
    <w:p>
      <w:pPr>
        <w:pStyle w:val="Heading2"/>
      </w:pPr>
      <w:r>
        <w:t xml:space="preserve">Description of Services — Civil Engineer Engagement</w:t>
      </w:r>
    </w:p>
    <w:p>
      <w:pPr>
        <w:pStyle w:val="FirstParagraph"/>
      </w:pPr>
      <w:r>
        <w:t xml:space="preserve">This Purchase Order authorizes the procurement of professional Civil Engineer services from Meridian Civil Engineering Group, LLC for the design, structural analysis, and regulatory compliance review of the Los Angeles Riverside Corridor Rehabilitation Project. The Civil Engineer shall be responsible for all geotechnical assessments, hydraulic modeling, structural load calculations, and the preparation of construction-ready engineering drawings in accordance with the California Building Standards Code (Title 24) and all applicable Los Angeles Municipal Code provisions. The Civil Engineer must hold an active Professional Engineer (P.E.) license issued by the California Board for Professional Engineers, Land Surveyors, and Geologists, and shall maintain professional liability insurance with a minimum coverage of $5,000,000 per occurrence throughout the duration of this Purchase Order.</w:t>
      </w:r>
    </w:p>
    <w:bookmarkEnd w:id="23"/>
    <w:bookmarkStart w:id="24" w:name="line-items-scope-of-work"/>
    <w:p>
      <w:pPr>
        <w:pStyle w:val="Heading2"/>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Civil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Geotechnical site investigation and soil classification for the 2.4-mile Riverside Corridor alignment in Los Angeles, United States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Hydraulic and stormwater drainage design per Los Angeles Department of Water and Power (LADWP) and LA Sanitation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3</w:t>
            </w:r>
          </w:p>
        </w:tc>
        <w:tc>
          <w:tcPr/>
          <w:p>
            <w:pPr>
              <w:pStyle w:val="Compact"/>
              <w:jc w:val="left"/>
            </w:pPr>
            <w:r>
              <w:t xml:space="preserve">Structural design and load analysis for 14 reinforced concrete bridge spans and 6 retaining wall sections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$115,000.00</w:t>
            </w:r>
          </w:p>
        </w:tc>
        <w:tc>
          <w:tcPr/>
          <w:p>
            <w:pPr>
              <w:pStyle w:val="Compact"/>
              <w:jc w:val="left"/>
            </w:pPr>
            <w:r>
              <w:t xml:space="preserve">$115,000.00</w:t>
            </w:r>
          </w:p>
        </w:tc>
      </w:tr>
      <w:tr>
        <w:tc>
          <w:tcPr/>
          <w:p>
            <w:pPr>
              <w:pStyle w:val="Compact"/>
              <w:jc w:val="left"/>
            </w:pPr>
            <w:r>
              <w:t xml:space="preserve">4</w:t>
            </w:r>
          </w:p>
        </w:tc>
        <w:tc>
          <w:tcPr/>
          <w:p>
            <w:pPr>
              <w:pStyle w:val="Compact"/>
              <w:jc w:val="left"/>
            </w:pPr>
            <w:r>
              <w:t xml:space="preserve">Preparation of 220 sheets of construction-ready engineering drawings, specifications, and quantity take-offs</w:t>
            </w:r>
          </w:p>
        </w:tc>
        <w:tc>
          <w:tcPr/>
          <w:p>
            <w:pPr>
              <w:pStyle w:val="Compact"/>
              <w:jc w:val="left"/>
            </w:pPr>
            <w:r>
              <w:t xml:space="preserve">220</w:t>
            </w:r>
          </w:p>
        </w:tc>
        <w:tc>
          <w:tcPr/>
          <w:p>
            <w:pPr>
              <w:pStyle w:val="Compact"/>
              <w:jc w:val="left"/>
            </w:pPr>
            <w:r>
              <w:t xml:space="preserve">Sheets</w:t>
            </w:r>
          </w:p>
        </w:tc>
        <w:tc>
          <w:tcPr/>
          <w:p>
            <w:pPr>
              <w:pStyle w:val="Compact"/>
              <w:jc w:val="left"/>
            </w:pPr>
            <w:r>
              <w:t xml:space="preserve">$385.00</w:t>
            </w:r>
          </w:p>
        </w:tc>
        <w:tc>
          <w:tcPr/>
          <w:p>
            <w:pPr>
              <w:pStyle w:val="Compact"/>
              <w:jc w:val="left"/>
            </w:pPr>
            <w:r>
              <w:t xml:space="preserve">$84,700.00</w:t>
            </w:r>
          </w:p>
        </w:tc>
      </w:tr>
      <w:tr>
        <w:tc>
          <w:tcPr/>
          <w:p>
            <w:pPr>
              <w:pStyle w:val="Compact"/>
              <w:jc w:val="left"/>
            </w:pPr>
            <w:r>
              <w:t xml:space="preserve">5</w:t>
            </w:r>
          </w:p>
        </w:tc>
        <w:tc>
          <w:tcPr/>
          <w:p>
            <w:pPr>
              <w:pStyle w:val="Compact"/>
              <w:jc w:val="left"/>
            </w:pPr>
            <w:r>
              <w:t xml:space="preserve">Environmental impact compliance review and CEQA documentation support for the Civil Engineer scope</w:t>
            </w:r>
          </w:p>
        </w:tc>
        <w:tc>
          <w:tcPr/>
          <w:p>
            <w:pPr>
              <w:pStyle w:val="Compact"/>
              <w:jc w:val="left"/>
            </w:pPr>
            <w:r>
              <w:t xml:space="preserve">1</w:t>
            </w:r>
          </w:p>
        </w:tc>
        <w:tc>
          <w:tcPr/>
          <w:p>
            <w:pPr>
              <w:pStyle w:val="Compact"/>
              <w:jc w:val="left"/>
            </w:pPr>
            <w:r>
              <w:t xml:space="preserve">Lot</w:t>
            </w:r>
          </w:p>
        </w:tc>
        <w:tc>
          <w:tcPr/>
          <w:p>
            <w:pPr>
              <w:pStyle w:val="Compact"/>
              <w:jc w:val="left"/>
            </w:pPr>
            <w:r>
              <w:t xml:space="preserve">$29,800.00</w:t>
            </w:r>
          </w:p>
        </w:tc>
        <w:tc>
          <w:tcPr/>
          <w:p>
            <w:pPr>
              <w:pStyle w:val="Compact"/>
              <w:jc w:val="left"/>
            </w:pPr>
            <w:r>
              <w:t xml:space="preserve">$29,800.00</w:t>
            </w:r>
          </w:p>
        </w:tc>
      </w:tr>
      <w:tr>
        <w:tc>
          <w:tcPr/>
          <w:p>
            <w:pPr>
              <w:pStyle w:val="Compact"/>
              <w:jc w:val="left"/>
            </w:pPr>
            <w:r>
              <w:t xml:space="preserve">6</w:t>
            </w:r>
          </w:p>
        </w:tc>
        <w:tc>
          <w:tcPr/>
          <w:p>
            <w:pPr>
              <w:pStyle w:val="Compact"/>
              <w:jc w:val="left"/>
            </w:pPr>
            <w:r>
              <w:t xml:space="preserve">On-site construction observation and progress inspections (estimated 45 working days in Los Angeles, United States)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7</w:t>
            </w:r>
          </w:p>
        </w:tc>
        <w:tc>
          <w:tcPr/>
          <w:p>
            <w:pPr>
              <w:pStyle w:val="Compact"/>
              <w:jc w:val="left"/>
            </w:pPr>
            <w:r>
              <w:t xml:space="preserve">Final as-built documentation, punch-list resolution, and project closeout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$18,450.00</w:t>
            </w:r>
          </w:p>
        </w:tc>
        <w:tc>
          <w:tcPr/>
          <w:p>
            <w:pPr>
              <w:pStyle w:val="Compact"/>
              <w:jc w:val="left"/>
            </w:pPr>
            <w:r>
              <w:t xml:space="preserve">$18,450.00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$424,000.00</w:t>
            </w:r>
          </w:p>
        </w:tc>
      </w:tr>
      <w:tr>
        <w:tc>
          <w:tcPr/>
          <w:p>
            <w:pPr>
              <w:pStyle w:val="Compact"/>
              <w:jc w:val="left"/>
            </w:pPr>
            <w:r>
              <w:t xml:space="preserve">California Sales &amp; Use Tax (0% — Professional Services Exempt):</w:t>
            </w:r>
          </w:p>
        </w:tc>
        <w:tc>
          <w:tcPr/>
          <w:p>
            <w:pPr>
              <w:pStyle w:val="Compact"/>
              <w:jc w:val="right"/>
            </w:pPr>
            <w:r>
              <w:t xml:space="preserve">$0.00</w:t>
            </w:r>
          </w:p>
        </w:tc>
      </w:tr>
      <w:tr>
        <w:tc>
          <w:tcPr/>
          <w:p>
            <w:pPr>
              <w:pStyle w:val="Compact"/>
              <w:jc w:val="left"/>
            </w:pPr>
            <w:r>
              <w:t xml:space="preserve">Los Angeles City Business Tax (1.5%):</w:t>
            </w:r>
          </w:p>
        </w:tc>
        <w:tc>
          <w:tcPr/>
          <w:p>
            <w:pPr>
              <w:pStyle w:val="Compact"/>
              <w:jc w:val="right"/>
            </w:pPr>
            <w:r>
              <w:t xml:space="preserve">$6,360.00</w:t>
            </w:r>
          </w:p>
        </w:tc>
      </w:tr>
      <w:tr>
        <w:tc>
          <w:tcPr/>
          <w:p>
            <w:pPr>
              <w:pStyle w:val="Compact"/>
              <w:jc w:val="left"/>
            </w:pPr>
            <w:r>
              <w:t xml:space="preserve">Grand Total (USD):</w:t>
            </w:r>
          </w:p>
        </w:tc>
        <w:tc>
          <w:tcPr/>
          <w:p>
            <w:pPr>
              <w:pStyle w:val="Compact"/>
              <w:jc w:val="right"/>
            </w:pPr>
            <w:r>
              <w:t xml:space="preserve">$430,360.00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federal laws of the United States. Any disputes arising under this Purchase Order shall be subject to the exclusive jurisdiction of the state and federal courts located in Los Angeles County, California, United States.</w:t>
      </w:r>
    </w:p>
    <w:p>
      <w:pPr>
        <w:numPr>
          <w:ilvl w:val="0"/>
          <w:numId w:val="1001"/>
        </w:numPr>
        <w:pStyle w:val="Compact"/>
      </w:pPr>
      <w:r>
        <w:rPr>
          <w:bCs/>
          <w:b/>
        </w:rPr>
        <w:t xml:space="preserve">Payment Terms:</w:t>
      </w:r>
      <w:r>
        <w:t xml:space="preserve"> </w:t>
      </w:r>
      <w:r>
        <w:t xml:space="preserve">Net 30 days from receipt of a valid invoice. Invoices shall be submitted monthly in arrears. Payment shall be made via ACH transfer to the vendor account on file. Late payments shall accrue interest at 1.5% per month as permitted under California Civil Code Section 3289.</w:t>
      </w:r>
    </w:p>
    <w:p>
      <w:pPr>
        <w:numPr>
          <w:ilvl w:val="0"/>
          <w:numId w:val="1001"/>
        </w:numPr>
        <w:pStyle w:val="Compact"/>
      </w:pPr>
      <w:r>
        <w:rPr>
          <w:bCs/>
          <w:b/>
        </w:rPr>
        <w:t xml:space="preserve">Performance Schedule:</w:t>
      </w:r>
      <w:r>
        <w:t xml:space="preserve"> </w:t>
      </w:r>
      <w:r>
        <w:t xml:space="preserve">The Civil Engineer shall commence work no later than July 1, 2025, and shall deliver all final engineering documents no later than November 15, 2025. A liquidated damages clause of $2,500 per calendar day applies for delays beyond the completion date, excluding force majeure events.</w:t>
      </w:r>
    </w:p>
    <w:p>
      <w:pPr>
        <w:numPr>
          <w:ilvl w:val="0"/>
          <w:numId w:val="1001"/>
        </w:numPr>
        <w:pStyle w:val="Compact"/>
      </w:pPr>
      <w:r>
        <w:rPr>
          <w:bCs/>
          <w:b/>
        </w:rPr>
        <w:t xml:space="preserve">Licensing and Compliance:</w:t>
      </w:r>
      <w:r>
        <w:t xml:space="preserve"> </w:t>
      </w:r>
      <w:r>
        <w:t xml:space="preserve">The Civil Engineer must maintain all required professional licenses, including a valid California P.E. license and a Los Angeles City business license, for the entire duration of this Purchase Order. Failure to maintain licensure constitutes immediate grounds for termination.</w:t>
      </w:r>
    </w:p>
    <w:p>
      <w:pPr>
        <w:numPr>
          <w:ilvl w:val="0"/>
          <w:numId w:val="1001"/>
        </w:numPr>
        <w:pStyle w:val="Compact"/>
      </w:pPr>
      <w:r>
        <w:rPr>
          <w:bCs/>
          <w:b/>
        </w:rPr>
        <w:t xml:space="preserve">Insurance:</w:t>
      </w:r>
      <w:r>
        <w:t xml:space="preserve"> </w:t>
      </w:r>
      <w:r>
        <w:t xml:space="preserve">The vendor shall carry and maintain Commercial General Liability insurance of not less than $5,000,000 per occurrence, Professional Liability (Errors &amp; Omissions) insurance of not less than $5,000,000, and Workers' Compensation insurance as required by California Labor Code. Certificates of insurance shall be provided prior to commencement of work.</w:t>
      </w:r>
    </w:p>
    <w:p>
      <w:pPr>
        <w:numPr>
          <w:ilvl w:val="0"/>
          <w:numId w:val="1001"/>
        </w:numPr>
        <w:pStyle w:val="Compact"/>
      </w:pPr>
      <w:r>
        <w:rPr>
          <w:bCs/>
          <w:b/>
        </w:rPr>
        <w:t xml:space="preserve">Intellectual Property:</w:t>
      </w:r>
      <w:r>
        <w:t xml:space="preserve"> </w:t>
      </w:r>
      <w:r>
        <w:t xml:space="preserve">All engineering drawings, reports, calculations, and documents produced under this Purchase Order shall become the sole property of LAMIA upon full payment. The Civil Engineer retains the right to reference the project in professional portfolios with prior written consent.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for convenience, the Civil Engineer shall be compensated for all work completed and documented through the termination date, plus reasonable demobilization costs not to exceed 5% of the remaining contract value.</w:t>
      </w:r>
    </w:p>
    <w:p>
      <w:pPr>
        <w:numPr>
          <w:ilvl w:val="0"/>
          <w:numId w:val="1001"/>
        </w:numPr>
        <w:pStyle w:val="Compact"/>
      </w:pPr>
      <w:r>
        <w:rPr>
          <w:bCs/>
          <w:b/>
        </w:rPr>
        <w:t xml:space="preserve">Anti-Discrimination and Equal Opportunity:</w:t>
      </w:r>
      <w:r>
        <w:t xml:space="preserve"> </w:t>
      </w:r>
      <w:r>
        <w:t xml:space="preserve">The vendor shall comply with all federal and California anti-discrimination statutes, including the California Fair Employment and Housing Act (FEHA), and shall ensure equal opportunity in all aspects of project staffing and subcontracting within Los Angeles, United States.</w:t>
      </w:r>
    </w:p>
    <w:p>
      <w:pPr>
        <w:numPr>
          <w:ilvl w:val="0"/>
          <w:numId w:val="1001"/>
        </w:numPr>
        <w:pStyle w:val="Compact"/>
      </w:pPr>
      <w:r>
        <w:rPr>
          <w:bCs/>
          <w:b/>
        </w:rPr>
        <w:t xml:space="preserve">Confidentiality:</w:t>
      </w:r>
      <w:r>
        <w:t xml:space="preserve"> </w:t>
      </w:r>
      <w:r>
        <w:t xml:space="preserve">All project data, site coordinates, and proprietary engineering information exchanged under this Purchase Order shall be treated as confidential and shall not be disclosed to third parties without written authorization from LAMIA.</w:t>
      </w:r>
    </w:p>
    <w:p>
      <w:pPr>
        <w:numPr>
          <w:ilvl w:val="0"/>
          <w:numId w:val="1001"/>
        </w:numPr>
        <w:pStyle w:val="Compact"/>
      </w:pPr>
      <w:r>
        <w:rPr>
          <w:bCs/>
          <w:b/>
        </w:rPr>
        <w:t xml:space="preserve">Dispute Resolution:</w:t>
      </w:r>
      <w:r>
        <w:t xml:space="preserve"> </w:t>
      </w:r>
      <w:r>
        <w:t xml:space="preserve">Prior to initiating litigation, the parties agree to attempt resolution through mediation administered by the American Arbitration Association in Los Angeles, California. If mediation fails within 60 days, either party may pursue binding arbitration under the AAA Construction Industry Arbitration Rules.</w:t>
      </w:r>
    </w:p>
    <w:bookmarkEnd w:id="25"/>
    <w:bookmarkStart w:id="26" w:name="authorized-signatures"/>
    <w:p>
      <w:pPr>
        <w:pStyle w:val="Heading2"/>
      </w:pPr>
      <w:r>
        <w:t xml:space="preserve">Authorized Signatures</w:t>
      </w:r>
    </w:p>
    <w:p>
      <w:pPr>
        <w:pStyle w:val="FirstParagraph"/>
      </w:pPr>
      <w:r>
        <w:t xml:space="preserve">For the Buyer — Los Angeles Metropolitan Infrastructure Authority</w:t>
      </w:r>
    </w:p>
    <w:p>
      <w:pPr>
        <w:pStyle w:val="BodyText"/>
      </w:pPr>
      <w:r>
        <w:rPr>
          <w:bCs/>
          <w:b/>
        </w:rPr>
        <w:t xml:space="preserve">Name:</w:t>
      </w:r>
      <w:r>
        <w:t xml:space="preserve"> </w:t>
      </w:r>
      <w:r>
        <w:t xml:space="preserve">Diane R.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For the Vendor — Meridian Civil Engineering Group, LLC</w:t>
      </w:r>
    </w:p>
    <w:p>
      <w:pPr>
        <w:pStyle w:val="BodyText"/>
      </w:pPr>
      <w:r>
        <w:rPr>
          <w:bCs/>
          <w:b/>
        </w:rPr>
        <w:t xml:space="preserve">Name:</w:t>
      </w:r>
      <w:r>
        <w:t xml:space="preserve"> </w:t>
      </w:r>
      <w:r>
        <w:t xml:space="preserve">Jonathan A. Reyes, P.E.</w:t>
      </w:r>
      <w:r>
        <w:br/>
      </w:r>
      <w:r>
        <w:rPr>
          <w:bCs/>
          <w:b/>
        </w:rPr>
        <w:t xml:space="preserve">Title:</w:t>
      </w:r>
      <w:r>
        <w:t xml:space="preserve"> </w:t>
      </w:r>
      <w:r>
        <w:t xml:space="preserve">Principal Civil Engineer / Managing Member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This Purchase Order (PO-2025-LA-04782) is an official procurement document issued by the Los Angeles Metropolitan Infrastructure Authority for the engagement of a licensed Civil Engineer in Los Angeles, California, United States. This document is valid only when signed by both authorized parties. Unauthorized reproduction or distribution is prohibited. © 2025 LAMIA. All rights reserved.</w:t>
      </w:r>
    </w:p>
    <w:p>
      <w:pPr>
        <w:pStyle w:val="BodyText"/>
      </w:pPr>
      <w:r>
        <w:t xml:space="preserve">Document generated on June 12, 2025 | Page 1 of 1 | Reference: LA-MUNI-2025-031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Los Angeles, United States</dc:title>
  <dc:creator/>
  <dc:language>en</dc:language>
  <cp:keywords/>
  <dcterms:created xsi:type="dcterms:W3CDTF">2026-10-10T08:51:32Z</dcterms:created>
  <dcterms:modified xsi:type="dcterms:W3CDTF">2026-10-10T08:51:32Z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