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purchase-order"/>
    <w:p>
      <w:pPr>
        <w:pStyle w:val="Heading1"/>
      </w:pPr>
      <w:r>
        <w:t xml:space="preserve">PURCHASE ORDER</w:t>
      </w:r>
    </w:p>
    <w:p>
      <w:pPr>
        <w:pStyle w:val="FirstParagraph"/>
      </w:pPr>
      <w:r>
        <w:rPr>
          <w:bCs/>
          <w:b/>
        </w:rPr>
        <w:t xml:space="preserve">Buyer:</w:t>
      </w:r>
      <w:r>
        <w:t xml:space="preserve"> </w:t>
      </w:r>
      <w:r>
        <w:t xml:space="preserve">Tashkent Infrastructure Development Authority (TIDA)</w:t>
      </w:r>
    </w:p>
    <w:p>
      <w:pPr>
        <w:pStyle w:val="BodyText"/>
      </w:pPr>
      <w:r>
        <w:rPr>
          <w:bCs/>
          <w:b/>
        </w:rPr>
        <w:t xml:space="preserve">Address:</w:t>
      </w:r>
      <w:r>
        <w:t xml:space="preserve"> </w:t>
      </w:r>
      <w:r>
        <w:t xml:space="preserve">42 Amir Temur Avenue, Tashkent 100011, Uzbekistan</w:t>
      </w:r>
    </w:p>
    <w:p>
      <w:pPr>
        <w:pStyle w:val="BodyText"/>
      </w:pPr>
      <w:r>
        <w:rPr>
          <w:bCs/>
          <w:b/>
        </w:rPr>
        <w:t xml:space="preserve">Phone:</w:t>
      </w:r>
      <w:r>
        <w:t xml:space="preserve"> </w:t>
      </w:r>
      <w:r>
        <w:t xml:space="preserve">+998 71 200 45 67  | </w:t>
      </w:r>
      <w:r>
        <w:t xml:space="preserve"> </w:t>
      </w:r>
      <w:r>
        <w:rPr>
          <w:bCs/>
          <w:b/>
        </w:rPr>
        <w:t xml:space="preserve">Email:</w:t>
      </w:r>
      <w:r>
        <w:t xml:space="preserve"> </w:t>
      </w:r>
      <w:r>
        <w:t xml:space="preserve">procurement@tida.uz</w:t>
      </w:r>
    </w:p>
    <w:p>
      <w:pPr>
        <w:pStyle w:val="BodyText"/>
      </w:pPr>
      <w:r>
        <w:rPr>
          <w:bCs/>
          <w:b/>
        </w:rPr>
        <w:t xml:space="preserve">Tax Identification Number (TIN):</w:t>
      </w:r>
      <w:r>
        <w:t xml:space="preserve"> </w:t>
      </w:r>
      <w:r>
        <w:t xml:space="preserve">200145678</w:t>
      </w:r>
    </w:p>
    <w:p>
      <w:pPr>
        <w:pStyle w:val="BodyText"/>
      </w:pPr>
      <w:r>
        <w:t xml:space="preserve">Purchase Order No.: PO-TK-2025-00847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Reference:</w:t>
      </w:r>
      <w:r>
        <w:t xml:space="preserve"> </w:t>
      </w:r>
      <w:r>
        <w:t xml:space="preserve">Tashkent Metro Extension – Phase III, Uzbekistan Tashkent</w:t>
      </w:r>
    </w:p>
    <w:bookmarkEnd w:id="20"/>
    <w:bookmarkStart w:id="21" w:name="supplier-contractor-details"/>
    <w:p>
      <w:pPr>
        <w:pStyle w:val="Heading2"/>
      </w:pPr>
      <w:r>
        <w:t xml:space="preserve">1. Supplier / Contractor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Central Asia Civil Engineering Solutions LLP</w:t>
            </w:r>
          </w:p>
        </w:tc>
      </w:tr>
      <w:tr>
        <w:tc>
          <w:tcPr/>
          <w:p>
            <w:pPr>
              <w:pStyle w:val="Compact"/>
              <w:jc w:val="left"/>
            </w:pPr>
            <w:r>
              <w:t xml:space="preserve">Registered Address</w:t>
            </w:r>
          </w:p>
        </w:tc>
        <w:tc>
          <w:tcPr/>
          <w:p>
            <w:pPr>
              <w:pStyle w:val="Compact"/>
              <w:jc w:val="left"/>
            </w:pPr>
            <w:r>
              <w:t xml:space="preserve">18 Navoi Street, Yunusobod District, Tashkent 100100, Uzbekistan</w:t>
            </w:r>
          </w:p>
        </w:tc>
      </w:tr>
      <w:tr>
        <w:tc>
          <w:tcPr/>
          <w:p>
            <w:pPr>
              <w:pStyle w:val="Compact"/>
              <w:jc w:val="left"/>
            </w:pPr>
            <w:r>
              <w:t xml:space="preserve">Contact Person</w:t>
            </w:r>
          </w:p>
        </w:tc>
        <w:tc>
          <w:tcPr/>
          <w:p>
            <w:pPr>
              <w:pStyle w:val="Compact"/>
              <w:jc w:val="left"/>
            </w:pPr>
            <w:r>
              <w:t xml:space="preserve">Mr. Aziz Karimov, Senior Civil Engineer and Project Director</w:t>
            </w:r>
          </w:p>
        </w:tc>
      </w:tr>
      <w:tr>
        <w:tc>
          <w:tcPr/>
          <w:p>
            <w:pPr>
              <w:pStyle w:val="Compact"/>
              <w:jc w:val="left"/>
            </w:pPr>
            <w:r>
              <w:t xml:space="preserve">Phone</w:t>
            </w:r>
          </w:p>
        </w:tc>
        <w:tc>
          <w:tcPr/>
          <w:p>
            <w:pPr>
              <w:pStyle w:val="Compact"/>
              <w:jc w:val="left"/>
            </w:pPr>
            <w:r>
              <w:t xml:space="preserve">+998 90 123 45 67</w:t>
            </w:r>
          </w:p>
        </w:tc>
      </w:tr>
      <w:tr>
        <w:tc>
          <w:tcPr/>
          <w:p>
            <w:pPr>
              <w:pStyle w:val="Compact"/>
              <w:jc w:val="left"/>
            </w:pPr>
            <w:r>
              <w:t xml:space="preserve">Email</w:t>
            </w:r>
          </w:p>
        </w:tc>
        <w:tc>
          <w:tcPr/>
          <w:p>
            <w:pPr>
              <w:pStyle w:val="Compact"/>
              <w:jc w:val="left"/>
            </w:pPr>
            <w:r>
              <w:t xml:space="preserve">projects@cacivil.uz</w:t>
            </w:r>
          </w:p>
        </w:tc>
      </w:tr>
      <w:tr>
        <w:tc>
          <w:tcPr/>
          <w:p>
            <w:pPr>
              <w:pStyle w:val="Compact"/>
              <w:jc w:val="left"/>
            </w:pPr>
            <w:r>
              <w:t xml:space="preserve">TIN</w:t>
            </w:r>
          </w:p>
        </w:tc>
        <w:tc>
          <w:tcPr/>
          <w:p>
            <w:pPr>
              <w:pStyle w:val="Compact"/>
              <w:jc w:val="left"/>
            </w:pPr>
            <w:r>
              <w:t xml:space="preserve">300987654</w:t>
            </w:r>
          </w:p>
        </w:tc>
      </w:tr>
      <w:tr>
        <w:tc>
          <w:tcPr/>
          <w:p>
            <w:pPr>
              <w:pStyle w:val="Compact"/>
              <w:jc w:val="left"/>
            </w:pPr>
            <w:r>
              <w:t xml:space="preserve">Bank</w:t>
            </w:r>
          </w:p>
        </w:tc>
        <w:tc>
          <w:tcPr/>
          <w:p>
            <w:pPr>
              <w:pStyle w:val="Compact"/>
              <w:jc w:val="left"/>
            </w:pPr>
            <w:r>
              <w:t xml:space="preserve">National Bank of Uzbekistan, Tashkent Branch</w:t>
            </w:r>
          </w:p>
        </w:tc>
      </w:tr>
      <w:tr>
        <w:tc>
          <w:tcPr/>
          <w:p>
            <w:pPr>
              <w:pStyle w:val="Compact"/>
              <w:jc w:val="left"/>
            </w:pPr>
            <w:r>
              <w:t xml:space="preserve">IBAN</w:t>
            </w:r>
          </w:p>
        </w:tc>
        <w:tc>
          <w:tcPr/>
          <w:p>
            <w:pPr>
              <w:pStyle w:val="Compact"/>
              <w:jc w:val="left"/>
            </w:pPr>
            <w:r>
              <w:t xml:space="preserve">UZ88 NBUZ 5000 0000 1234 5678 90</w:t>
            </w:r>
          </w:p>
        </w:tc>
      </w:tr>
    </w:tbl>
    <w:bookmarkEnd w:id="21"/>
    <w:bookmarkStart w:id="22" w:name="X4201b6ba6fda6a43441ea194ad3b02fc076902d"/>
    <w:p>
      <w:pPr>
        <w:pStyle w:val="Heading2"/>
      </w:pPr>
      <w:r>
        <w:t xml:space="preserve">2. Scope of Work and Itemized Purchase Description</w:t>
      </w:r>
    </w:p>
    <w:p>
      <w:pPr>
        <w:pStyle w:val="FirstParagraph"/>
      </w:pPr>
      <w:r>
        <w:t xml:space="preserve">This Purchase Order is issued by the Tashkent Infrastructure Development Authority to procure the professional services of a qualified</w:t>
      </w:r>
      <w:r>
        <w:t xml:space="preserve"> </w:t>
      </w:r>
      <w:r>
        <w:t xml:space="preserve">Civil Engineer</w:t>
      </w:r>
      <w:r>
        <w:t xml:space="preserve"> </w:t>
      </w:r>
      <w:r>
        <w:t xml:space="preserve">and associated technical resources for the Tashkent Metro Extension – Phase III project located in</w:t>
      </w:r>
      <w:r>
        <w:t xml:space="preserve"> </w:t>
      </w:r>
      <w:r>
        <w:t xml:space="preserve">Uzbekistan Tashkent</w:t>
      </w:r>
      <w:r>
        <w:t xml:space="preserve">. The Civil Engineer shall be responsible for structural design verification, geotechnical assessment, construction supervision, and compliance review in accordance with the national building codes of the Republic of Uzbekistan and the standards set forth by the State Committee for Architecture and Construction of Uzbekistan.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01</w:t>
            </w:r>
          </w:p>
        </w:tc>
        <w:tc>
          <w:tcPr/>
          <w:p>
            <w:pPr>
              <w:pStyle w:val="Compact"/>
              <w:jc w:val="left"/>
            </w:pPr>
            <w:r>
              <w:t xml:space="preserve">Senior Civil Engineer – Structural Design &amp; Verification Services (Tunnel Sections A through F, Tashkent Metro Extension)</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02</w:t>
            </w:r>
          </w:p>
        </w:tc>
        <w:tc>
          <w:tcPr/>
          <w:p>
            <w:pPr>
              <w:pStyle w:val="Compact"/>
              <w:jc w:val="left"/>
            </w:pPr>
            <w:r>
              <w:t xml:space="preserve">Civil Engineer – Geotechnical Investigation &amp; Soil Analysis (Site Boreholes 1–24, Yunusobod District, Tashkent)</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03</w:t>
            </w:r>
          </w:p>
        </w:tc>
        <w:tc>
          <w:tcPr/>
          <w:p>
            <w:pPr>
              <w:pStyle w:val="Compact"/>
              <w:jc w:val="left"/>
            </w:pPr>
            <w:r>
              <w:t xml:space="preserve">Civil Engineer – On-Site Construction Supervision &amp; Quality Assurance (Duration: 18 months)</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78,000,000</w:t>
            </w:r>
          </w:p>
        </w:tc>
        <w:tc>
          <w:tcPr/>
          <w:p>
            <w:pPr>
              <w:pStyle w:val="Compact"/>
              <w:jc w:val="left"/>
            </w:pPr>
            <w:r>
              <w:t xml:space="preserve">78,000,000</w:t>
            </w:r>
          </w:p>
        </w:tc>
      </w:tr>
      <w:tr>
        <w:tc>
          <w:tcPr/>
          <w:p>
            <w:pPr>
              <w:pStyle w:val="Compact"/>
              <w:jc w:val="left"/>
            </w:pPr>
            <w:r>
              <w:t xml:space="preserve">04</w:t>
            </w:r>
          </w:p>
        </w:tc>
        <w:tc>
          <w:tcPr/>
          <w:p>
            <w:pPr>
              <w:pStyle w:val="Compact"/>
              <w:jc w:val="left"/>
            </w:pPr>
            <w:r>
              <w:t xml:space="preserve">Structural Analysis Software License (SAP2000 / ETABS) – Civil Engineer Workstation</w:t>
            </w:r>
          </w:p>
        </w:tc>
        <w:tc>
          <w:tcPr/>
          <w:p>
            <w:pPr>
              <w:pStyle w:val="Compact"/>
              <w:jc w:val="left"/>
            </w:pPr>
            <w:r>
              <w:t xml:space="preserve">2</w:t>
            </w:r>
          </w:p>
        </w:tc>
        <w:tc>
          <w:tcPr/>
          <w:p>
            <w:pPr>
              <w:pStyle w:val="Compact"/>
              <w:jc w:val="left"/>
            </w:pPr>
            <w:r>
              <w:t xml:space="preserve">Licenses</w:t>
            </w:r>
          </w:p>
        </w:tc>
        <w:tc>
          <w:tcPr/>
          <w:p>
            <w:pPr>
              <w:pStyle w:val="Compact"/>
              <w:jc w:val="left"/>
            </w:pPr>
            <w:r>
              <w:t xml:space="preserve">12,500,000</w:t>
            </w:r>
          </w:p>
        </w:tc>
        <w:tc>
          <w:tcPr/>
          <w:p>
            <w:pPr>
              <w:pStyle w:val="Compact"/>
              <w:jc w:val="left"/>
            </w:pPr>
            <w:r>
              <w:t xml:space="preserve">25,000,000</w:t>
            </w:r>
          </w:p>
        </w:tc>
      </w:tr>
      <w:tr>
        <w:tc>
          <w:tcPr/>
          <w:p>
            <w:pPr>
              <w:pStyle w:val="Compact"/>
              <w:jc w:val="left"/>
            </w:pPr>
            <w:r>
              <w:t xml:space="preserve">05</w:t>
            </w:r>
          </w:p>
        </w:tc>
        <w:tc>
          <w:tcPr/>
          <w:p>
            <w:pPr>
              <w:pStyle w:val="Compact"/>
              <w:jc w:val="left"/>
            </w:pPr>
            <w:r>
              <w:t xml:space="preserve">Geotechnical Testing Equipment Package (Cone Penetration Tester, Standard Penetration Test Kit, Moisture Content Analyzer)</w:t>
            </w:r>
          </w:p>
        </w:tc>
        <w:tc>
          <w:tcPr/>
          <w:p>
            <w:pPr>
              <w:pStyle w:val="Compact"/>
              <w:jc w:val="left"/>
            </w:pPr>
            <w:r>
              <w:t xml:space="preserve">1</w:t>
            </w:r>
          </w:p>
        </w:tc>
        <w:tc>
          <w:tcPr/>
          <w:p>
            <w:pPr>
              <w:pStyle w:val="Compact"/>
              <w:jc w:val="left"/>
            </w:pPr>
            <w:r>
              <w:t xml:space="preserve">Set</w:t>
            </w:r>
          </w:p>
        </w:tc>
        <w:tc>
          <w:tcPr/>
          <w:p>
            <w:pPr>
              <w:pStyle w:val="Compact"/>
              <w:jc w:val="left"/>
            </w:pPr>
            <w:r>
              <w:t xml:space="preserve">55,000,000</w:t>
            </w:r>
          </w:p>
        </w:tc>
        <w:tc>
          <w:tcPr/>
          <w:p>
            <w:pPr>
              <w:pStyle w:val="Compact"/>
              <w:jc w:val="left"/>
            </w:pPr>
            <w:r>
              <w:t xml:space="preserve">55,000,000</w:t>
            </w:r>
          </w:p>
        </w:tc>
      </w:tr>
      <w:tr>
        <w:tc>
          <w:tcPr/>
          <w:p>
            <w:pPr>
              <w:pStyle w:val="Compact"/>
              <w:jc w:val="left"/>
            </w:pPr>
            <w:r>
              <w:t xml:space="preserve">06</w:t>
            </w:r>
          </w:p>
        </w:tc>
        <w:tc>
          <w:tcPr/>
          <w:p>
            <w:pPr>
              <w:pStyle w:val="Compact"/>
              <w:jc w:val="left"/>
            </w:pPr>
            <w:r>
              <w:t xml:space="preserve">Reinforced Concrete Mix Design &amp; Laboratory Testing Services (Tashkent Central Laboratory, Uzbekistan)</w:t>
            </w:r>
          </w:p>
        </w:tc>
        <w:tc>
          <w:tcPr/>
          <w:p>
            <w:pPr>
              <w:pStyle w:val="Compact"/>
              <w:jc w:val="left"/>
            </w:pPr>
            <w:r>
              <w:t xml:space="preserve">120</w:t>
            </w:r>
          </w:p>
        </w:tc>
        <w:tc>
          <w:tcPr/>
          <w:p>
            <w:pPr>
              <w:pStyle w:val="Compact"/>
              <w:jc w:val="left"/>
            </w:pPr>
            <w:r>
              <w:t xml:space="preserve">Tests</w:t>
            </w:r>
          </w:p>
        </w:tc>
        <w:tc>
          <w:tcPr/>
          <w:p>
            <w:pPr>
              <w:pStyle w:val="Compact"/>
              <w:jc w:val="left"/>
            </w:pPr>
            <w:r>
              <w:t xml:space="preserve">850,000</w:t>
            </w:r>
          </w:p>
        </w:tc>
        <w:tc>
          <w:tcPr/>
          <w:p>
            <w:pPr>
              <w:pStyle w:val="Compact"/>
              <w:jc w:val="left"/>
            </w:pPr>
            <w:r>
              <w:t xml:space="preserve">102,000,000</w:t>
            </w:r>
          </w:p>
        </w:tc>
      </w:tr>
      <w:tr>
        <w:tc>
          <w:tcPr/>
          <w:p>
            <w:pPr>
              <w:pStyle w:val="Compact"/>
              <w:jc w:val="left"/>
            </w:pPr>
            <w:r>
              <w:t xml:space="preserve">07</w:t>
            </w:r>
          </w:p>
        </w:tc>
        <w:tc>
          <w:tcPr/>
          <w:p>
            <w:pPr>
              <w:pStyle w:val="Compact"/>
              <w:jc w:val="left"/>
            </w:pPr>
            <w:r>
              <w:t xml:space="preserve">As-Built Documentation &amp; Final Engineering Report Preparation (Civil Engineer Deliverable)</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18,000,000</w:t>
            </w:r>
          </w:p>
        </w:tc>
        <w:tc>
          <w:tcPr/>
          <w:p>
            <w:pPr>
              <w:pStyle w:val="Compact"/>
              <w:jc w:val="left"/>
            </w:pPr>
            <w:r>
              <w:t xml:space="preserve">18,000,000</w:t>
            </w:r>
          </w:p>
        </w:tc>
      </w:tr>
      <w:tr>
        <w:tc>
          <w:tcPr>
            <w:gridSpan w:val="5"/>
          </w:tcPr>
          <w:p>
            <w:pPr>
              <w:pStyle w:val="Compact"/>
              <w:jc w:val="left"/>
            </w:pPr>
            <w:r>
              <w:t xml:space="preserve">Subtotal</w:t>
            </w:r>
          </w:p>
        </w:tc>
        <w:tc>
          <w:tcPr/>
          <w:p>
            <w:pPr>
              <w:pStyle w:val="Compact"/>
              <w:jc w:val="left"/>
            </w:pPr>
            <w:r>
              <w:t xml:space="preserve">355,000,000</w:t>
            </w:r>
          </w:p>
        </w:tc>
      </w:tr>
      <w:tr>
        <w:tc>
          <w:tcPr>
            <w:gridSpan w:val="5"/>
          </w:tcPr>
          <w:p>
            <w:pPr>
              <w:pStyle w:val="Compact"/>
              <w:jc w:val="left"/>
            </w:pPr>
            <w:r>
              <w:t xml:space="preserve">VAT (12% – Republic of Uzbekistan)</w:t>
            </w:r>
          </w:p>
        </w:tc>
        <w:tc>
          <w:tcPr/>
          <w:p>
            <w:pPr>
              <w:pStyle w:val="Compact"/>
              <w:jc w:val="left"/>
            </w:pPr>
            <w:r>
              <w:t xml:space="preserve">42,600,000</w:t>
            </w:r>
          </w:p>
        </w:tc>
      </w:tr>
      <w:tr>
        <w:tc>
          <w:tcPr>
            <w:gridSpan w:val="5"/>
          </w:tcPr>
          <w:p>
            <w:pPr>
              <w:pStyle w:val="Compact"/>
              <w:jc w:val="left"/>
            </w:pPr>
            <w:r>
              <w:rPr>
                <w:bCs/>
                <w:b/>
              </w:rPr>
              <w:t xml:space="preserve">Grand Total (UZS)</w:t>
            </w:r>
          </w:p>
        </w:tc>
        <w:tc>
          <w:tcPr/>
          <w:p>
            <w:pPr>
              <w:pStyle w:val="Compact"/>
              <w:jc w:val="left"/>
            </w:pPr>
            <w:r>
              <w:rPr>
                <w:bCs/>
                <w:b/>
              </w:rPr>
              <w:t xml:space="preserve">397,600,000</w:t>
            </w:r>
          </w:p>
        </w:tc>
      </w:tr>
    </w:tbl>
    <w:bookmarkEnd w:id="22"/>
    <w:bookmarkStart w:id="23" w:name="delivery-and-performance-location"/>
    <w:p>
      <w:pPr>
        <w:pStyle w:val="Heading2"/>
      </w:pPr>
      <w:r>
        <w:t xml:space="preserve">3. Delivery and Performance Location</w:t>
      </w:r>
    </w:p>
    <w:p>
      <w:pPr>
        <w:pStyle w:val="FirstParagraph"/>
      </w:pPr>
      <w:r>
        <w:t xml:space="preserve">All services, equipment deliveries, and on-site activities under this Purchase Order shall be performed at the designated project site located in</w:t>
      </w:r>
      <w:r>
        <w:t xml:space="preserve"> </w:t>
      </w:r>
      <w:r>
        <w:t xml:space="preserve">Uzbekistan Tashkent</w:t>
      </w:r>
      <w:r>
        <w:t xml:space="preserve">, specifically at the Tashkent Metro Extension – Phase III construction zones spanning the Yunusobod, Mirzo Ulugbek, and Chilonzor districts. The Civil Engineer shall maintain a permanent on-site office at the Tashkent project headquarters at 42 Amir Temur Avenue, Tashkent 100011, Uzbekistan, and shall be available for inspection and coordination meetings at the Tashkent Infrastructure Development Authority offices no fewer than three (3) times per week.</w:t>
      </w:r>
    </w:p>
    <w:bookmarkEnd w:id="23"/>
    <w:bookmarkStart w:id="24" w:name="payment-terms"/>
    <w:p>
      <w:pPr>
        <w:pStyle w:val="Heading2"/>
      </w:pPr>
      <w:r>
        <w:t xml:space="preserve">4. Payment Terms</w:t>
      </w:r>
    </w:p>
    <w:p>
      <w:pPr>
        <w:pStyle w:val="FirstParagraph"/>
      </w:pPr>
      <w:r>
        <w:rPr>
          <w:bCs/>
          <w:b/>
        </w:rPr>
        <w:t xml:space="preserve">4.1</w:t>
      </w:r>
      <w:r>
        <w:t xml:space="preserve"> </w:t>
      </w:r>
      <w:r>
        <w:t xml:space="preserve">Payment shall be made in the national currency of Uzbekistan (Uzbek Som – UZS) via bank transfer to the account specified in Section 1 of this Purchase Order.</w:t>
      </w:r>
    </w:p>
    <w:p>
      <w:pPr>
        <w:pStyle w:val="BodyText"/>
      </w:pPr>
      <w:r>
        <w:rPr>
          <w:bCs/>
          <w:b/>
        </w:rPr>
        <w:t xml:space="preserve">4.2</w:t>
      </w:r>
      <w:r>
        <w:t xml:space="preserve"> </w:t>
      </w:r>
      <w:r>
        <w:t xml:space="preserve">A mobilization advance of 20% of the total Purchase Order value (UZS 79,520,000) shall be disbursed within ten (10) business days of the signed acceptance of this document by both parties.</w:t>
      </w:r>
    </w:p>
    <w:p>
      <w:pPr>
        <w:pStyle w:val="BodyText"/>
      </w:pPr>
      <w:r>
        <w:rPr>
          <w:bCs/>
          <w:b/>
        </w:rPr>
        <w:t xml:space="preserve">4.3</w:t>
      </w:r>
      <w:r>
        <w:t xml:space="preserve"> </w:t>
      </w:r>
      <w:r>
        <w:t xml:space="preserve">Progress payments of 15% shall be issued at the completion of each quarterly milestone as verified by the project supervisor and the assigned Civil Engineer.</w:t>
      </w:r>
    </w:p>
    <w:p>
      <w:pPr>
        <w:pStyle w:val="BodyText"/>
      </w:pPr>
      <w:r>
        <w:rPr>
          <w:bCs/>
          <w:b/>
        </w:rPr>
        <w:t xml:space="preserve">4.4</w:t>
      </w:r>
      <w:r>
        <w:t xml:space="preserve"> </w:t>
      </w:r>
      <w:r>
        <w:t xml:space="preserve">The final payment of 25% shall be released upon successful completion of all deliverables, submission of the final as-built documentation, and a formal acceptance certificate issued by the Tashkent Infrastructure Development Authority.</w:t>
      </w:r>
    </w:p>
    <w:p>
      <w:pPr>
        <w:pStyle w:val="BodyText"/>
      </w:pPr>
      <w:r>
        <w:rPr>
          <w:bCs/>
          <w:b/>
        </w:rPr>
        <w:t xml:space="preserve">4.5</w:t>
      </w:r>
      <w:r>
        <w:t xml:space="preserve"> </w:t>
      </w:r>
      <w:r>
        <w:t xml:space="preserve">All payments are subject to a 12% Value Added Tax (VAT) as mandated by the Tax Code of the Republic of Uzbekistan.</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Purchase Order is governed by the Civil Code of the Republic of Uzbekistan and applicable procurement regulations issued by the Ministry of Finance of Uzbekistan.</w:t>
      </w:r>
    </w:p>
    <w:p>
      <w:pPr>
        <w:pStyle w:val="BodyText"/>
      </w:pPr>
      <w:r>
        <w:rPr>
          <w:bCs/>
          <w:b/>
        </w:rPr>
        <w:t xml:space="preserve">5.2</w:t>
      </w:r>
      <w:r>
        <w:t xml:space="preserve"> </w:t>
      </w:r>
      <w:r>
        <w:t xml:space="preserve">The Civil Engineer engaged under this Purchase Order must hold a valid professional license issued by the State Committee for Architecture and Construction of Uzbekistan and a minimum of ten (10) years of documented experience in large-scale infrastructure projects within Central Asia.</w:t>
      </w:r>
    </w:p>
    <w:p>
      <w:pPr>
        <w:pStyle w:val="BodyText"/>
      </w:pPr>
      <w:r>
        <w:rPr>
          <w:bCs/>
          <w:b/>
        </w:rPr>
        <w:t xml:space="preserve">5.3</w:t>
      </w:r>
      <w:r>
        <w:t xml:space="preserve"> </w:t>
      </w:r>
      <w:r>
        <w:t xml:space="preserve">The supplier shall comply with all occupational health and safety regulations in force in Uzbekistan Tashkent, including but not limited to the requirements of the State Labor Inspectorate of the Republic of Uzbekistan.</w:t>
      </w:r>
    </w:p>
    <w:p>
      <w:pPr>
        <w:pStyle w:val="BodyText"/>
      </w:pPr>
      <w:r>
        <w:rPr>
          <w:bCs/>
          <w:b/>
        </w:rPr>
        <w:t xml:space="preserve">5.4</w:t>
      </w:r>
      <w:r>
        <w:t xml:space="preserve"> </w:t>
      </w:r>
      <w:r>
        <w:t xml:space="preserve">Any modification to the scope, timeline, or value of this Purchase Order must be documented in a written amendment signed by authorized representatives of both parties.</w:t>
      </w:r>
    </w:p>
    <w:p>
      <w:pPr>
        <w:pStyle w:val="BodyText"/>
      </w:pPr>
      <w:r>
        <w:rPr>
          <w:bCs/>
          <w:b/>
        </w:rPr>
        <w:t xml:space="preserve">5.5</w:t>
      </w:r>
      <w:r>
        <w:t xml:space="preserve"> </w:t>
      </w:r>
      <w:r>
        <w:t xml:space="preserve">The supplier warrants that all equipment and materials delivered under this Purchase Order shall be new, of original manufacture, and free from defects for a period of twenty-four (24) months from the date of acceptance in Tashkent.</w:t>
      </w:r>
    </w:p>
    <w:p>
      <w:pPr>
        <w:pStyle w:val="BodyText"/>
      </w:pPr>
      <w:r>
        <w:rPr>
          <w:bCs/>
          <w:b/>
        </w:rPr>
        <w:t xml:space="preserve">5.6</w:t>
      </w:r>
      <w:r>
        <w:t xml:space="preserve"> </w:t>
      </w:r>
      <w:r>
        <w:t xml:space="preserve">In the event of a dispute, both parties agree to first attempt resolution through good-faith negotiation. Should negotiation fail, the matter shall be referred to the Arbitration Center under the Chamber of Commerce and Industry of Uzbekistan, Tashkent.</w:t>
      </w:r>
    </w:p>
    <w:p>
      <w:pPr>
        <w:pStyle w:val="BodyText"/>
      </w:pPr>
      <w:r>
        <w:rPr>
          <w:bCs/>
          <w:b/>
        </w:rPr>
        <w:t xml:space="preserve">5.7</w:t>
      </w:r>
      <w:r>
        <w:t xml:space="preserve"> </w:t>
      </w:r>
      <w:r>
        <w:t xml:space="preserve">The supplier shall maintain comprehensive professional liability insurance with a minimum coverage of UZS 500,000,000 for the duration of the contract, valid throughout the territory of Uzbekistan.</w:t>
      </w:r>
    </w:p>
    <w:bookmarkEnd w:id="25"/>
    <w:bookmarkStart w:id="26" w:name="schedule-and-milestones"/>
    <w:p>
      <w:pPr>
        <w:pStyle w:val="Heading2"/>
      </w:pPr>
      <w:r>
        <w:t xml:space="preserve">6. Schedule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Deliverable</w:t>
            </w:r>
          </w:p>
        </w:tc>
      </w:tr>
      <w:tr>
        <w:tc>
          <w:tcPr/>
          <w:p>
            <w:pPr>
              <w:pStyle w:val="Compact"/>
              <w:jc w:val="left"/>
            </w:pPr>
            <w:r>
              <w:t xml:space="preserve">Project Mobilization &amp; Site Access</w:t>
            </w:r>
          </w:p>
        </w:tc>
        <w:tc>
          <w:tcPr/>
          <w:p>
            <w:pPr>
              <w:pStyle w:val="Compact"/>
              <w:jc w:val="left"/>
            </w:pPr>
            <w:r>
              <w:t xml:space="preserve">1 July 2025</w:t>
            </w:r>
          </w:p>
        </w:tc>
        <w:tc>
          <w:tcPr/>
          <w:p>
            <w:pPr>
              <w:pStyle w:val="Compact"/>
              <w:jc w:val="left"/>
            </w:pPr>
            <w:r>
              <w:t xml:space="preserve">Civil Engineer on-site, office established in Tashkent</w:t>
            </w:r>
          </w:p>
        </w:tc>
      </w:tr>
      <w:tr>
        <w:tc>
          <w:tcPr/>
          <w:p>
            <w:pPr>
              <w:pStyle w:val="Compact"/>
              <w:jc w:val="left"/>
            </w:pPr>
            <w:r>
              <w:t xml:space="preserve">Geotechnical Report Submission</w:t>
            </w:r>
          </w:p>
        </w:tc>
        <w:tc>
          <w:tcPr/>
          <w:p>
            <w:pPr>
              <w:pStyle w:val="Compact"/>
              <w:jc w:val="left"/>
            </w:pPr>
            <w:r>
              <w:t xml:space="preserve">30 September 2025</w:t>
            </w:r>
          </w:p>
        </w:tc>
        <w:tc>
          <w:tcPr/>
          <w:p>
            <w:pPr>
              <w:pStyle w:val="Compact"/>
              <w:jc w:val="left"/>
            </w:pPr>
            <w:r>
              <w:t xml:space="preserve">Complete soil analysis for all 24 boreholes</w:t>
            </w:r>
          </w:p>
        </w:tc>
      </w:tr>
      <w:tr>
        <w:tc>
          <w:tcPr/>
          <w:p>
            <w:pPr>
              <w:pStyle w:val="Compact"/>
              <w:jc w:val="left"/>
            </w:pPr>
            <w:r>
              <w:t xml:space="preserve">Structural Design Verification</w:t>
            </w:r>
          </w:p>
        </w:tc>
        <w:tc>
          <w:tcPr/>
          <w:p>
            <w:pPr>
              <w:pStyle w:val="Compact"/>
              <w:jc w:val="left"/>
            </w:pPr>
            <w:r>
              <w:t xml:space="preserve">31 January 2026</w:t>
            </w:r>
          </w:p>
        </w:tc>
        <w:tc>
          <w:tcPr/>
          <w:p>
            <w:pPr>
              <w:pStyle w:val="Compact"/>
              <w:jc w:val="left"/>
            </w:pPr>
            <w:r>
              <w:t xml:space="preserve">Verified structural drawings for Tunnel Sections A–F</w:t>
            </w:r>
          </w:p>
        </w:tc>
      </w:tr>
      <w:tr>
        <w:tc>
          <w:tcPr/>
          <w:p>
            <w:pPr>
              <w:pStyle w:val="Compact"/>
              <w:jc w:val="left"/>
            </w:pPr>
            <w:r>
              <w:t xml:space="preserve">Mid-Project Quality Audit</w:t>
            </w:r>
          </w:p>
        </w:tc>
        <w:tc>
          <w:tcPr/>
          <w:p>
            <w:pPr>
              <w:pStyle w:val="Compact"/>
              <w:jc w:val="left"/>
            </w:pPr>
            <w:r>
              <w:t xml:space="preserve">30 June 2026</w:t>
            </w:r>
          </w:p>
        </w:tc>
        <w:tc>
          <w:tcPr/>
          <w:p>
            <w:pPr>
              <w:pStyle w:val="Compact"/>
              <w:jc w:val="left"/>
            </w:pPr>
            <w:r>
              <w:t xml:space="preserve">Interim inspection report and corrective action plan</w:t>
            </w:r>
          </w:p>
        </w:tc>
      </w:tr>
      <w:tr>
        <w:tc>
          <w:tcPr/>
          <w:p>
            <w:pPr>
              <w:pStyle w:val="Compact"/>
              <w:jc w:val="left"/>
            </w:pPr>
            <w:r>
              <w:t xml:space="preserve">Final As-Built Documentation</w:t>
            </w:r>
          </w:p>
        </w:tc>
        <w:tc>
          <w:tcPr/>
          <w:p>
            <w:pPr>
              <w:pStyle w:val="Compact"/>
              <w:jc w:val="left"/>
            </w:pPr>
            <w:r>
              <w:t xml:space="preserve">30 November 2026</w:t>
            </w:r>
          </w:p>
        </w:tc>
        <w:tc>
          <w:tcPr/>
          <w:p>
            <w:pPr>
              <w:pStyle w:val="Compact"/>
              <w:jc w:val="left"/>
            </w:pPr>
            <w:r>
              <w:t xml:space="preserve">Complete engineering report and handover package</w:t>
            </w:r>
          </w:p>
        </w:tc>
      </w:tr>
    </w:tbl>
    <w:bookmarkEnd w:id="26"/>
    <w:p>
      <w:pPr>
        <w:pStyle w:val="BodyText"/>
      </w:pPr>
      <w:r>
        <w:rPr>
          <w:bCs/>
          <w:b/>
        </w:rPr>
        <w:t xml:space="preserve">For and on behalf of the Buyer:</w:t>
      </w:r>
    </w:p>
    <w:p>
      <w:pPr>
        <w:pStyle w:val="BodyText"/>
      </w:pPr>
      <w:r>
        <w:t xml:space="preserve">Tashkent Infrastructure Development Authority</w:t>
      </w:r>
    </w:p>
    <w:p>
      <w:pPr>
        <w:pStyle w:val="BodyText"/>
      </w:pPr>
      <w:r>
        <w:rPr>
          <w:bCs/>
          <w:b/>
        </w:rPr>
        <w:t xml:space="preserve">Name:</w:t>
      </w:r>
      <w:r>
        <w:t xml:space="preserve"> </w:t>
      </w:r>
      <w:r>
        <w:t xml:space="preserve">Dilnoza Rahimova</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rPr>
          <w:bCs/>
          <w:b/>
        </w:rPr>
        <w:t xml:space="preserve">For and on behalf of the Supplier:</w:t>
      </w:r>
    </w:p>
    <w:p>
      <w:pPr>
        <w:pStyle w:val="BodyText"/>
      </w:pPr>
      <w:r>
        <w:t xml:space="preserve">Central Asia Civil Engineering Solutions LLP</w:t>
      </w:r>
    </w:p>
    <w:p>
      <w:pPr>
        <w:pStyle w:val="BodyText"/>
      </w:pPr>
      <w:r>
        <w:rPr>
          <w:bCs/>
          <w:b/>
        </w:rPr>
        <w:t xml:space="preserve">Name:</w:t>
      </w:r>
      <w:r>
        <w:t xml:space="preserve"> </w:t>
      </w:r>
      <w:r>
        <w:t xml:space="preserve">Aziz Karimov</w:t>
      </w:r>
      <w:r>
        <w:br/>
      </w:r>
      <w:r>
        <w:rPr>
          <w:bCs/>
          <w:b/>
        </w:rPr>
        <w:t xml:space="preserve">Title:</w:t>
      </w:r>
      <w:r>
        <w:t xml:space="preserve"> </w:t>
      </w:r>
      <w:r>
        <w:t xml:space="preserve">Senior Civil Engineer / Project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This Purchase Order (PO-TK-2025-00847) is an official procurement document of the Tashkent Infrastructure Development Authority, Republic of Uzbekistan. It pertains to the engagement of Civil Engineer professional services for infrastructure development in Uzbekistan Tashkent. Unauthorized reproduction or distribution of this document is prohibited. All communications regarding this Purchase Order shall be directed to procurement@tida.uz.</w:t>
      </w:r>
    </w:p>
    <w:p>
      <w:pPr>
        <w:pStyle w:val="BodyText"/>
      </w:pPr>
      <w:r>
        <w:t xml:space="preserve">Document generated in accordance with the Public Procurement Law of the Republic of Uzbekistan (Law No. ZRU-345, 2019, as amended).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Uzbekistan Tashkent</dc:title>
  <dc:creator/>
  <dc:language>en</dc:language>
  <cp:keywords/>
  <dcterms:created xsi:type="dcterms:W3CDTF">2026-10-10T08:06:30Z</dcterms:created>
  <dcterms:modified xsi:type="dcterms:W3CDTF">2026-10-10T08:06:30Z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