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Services –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–</w:t>
      </w:r>
      <w:r>
        <w:t xml:space="preserve"> </w:t>
      </w:r>
      <w:r>
        <w:t xml:space="preserve">India Bangalore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PO/BLR/2025/CE-0487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t xml:space="preserve">1. Parties Involved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Purchasing Entity (Buyer)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TechNova Solutions Pvt. Ltd., 4th Floor, Innovation Tower, Whitefield Main Road,</w:t>
            </w:r>
            <w:r>
              <w:t xml:space="preserve"> </w:t>
            </w:r>
            <w:r>
              <w:t xml:space="preserve">India Bangalore</w:t>
            </w:r>
            <w:r>
              <w:t xml:space="preserve">, Karnataka 560066, India. GSTIN: 29AABCT4871F1Z5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/ Service 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Engineering Talent Services LLP, 2nd Floor, Prestige Tech Park, Outer Ring Road,</w:t>
            </w:r>
            <w:r>
              <w:t xml:space="preserve"> </w:t>
            </w:r>
            <w:r>
              <w:t xml:space="preserve">India Bangalore</w:t>
            </w:r>
            <w:r>
              <w:t xml:space="preserve">, Karnataka 560103, India. GSTIN: 29AAKCA2345B1Z8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Position Procured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</w:t>
            </w:r>
            <w:r>
              <w:t xml:space="preserve"> </w:t>
            </w:r>
            <w:r>
              <w:t xml:space="preserve">– Senior Level (Full-Time, 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TechNova Solutions Pvt. Ltd. Office, Whitefield,</w:t>
            </w:r>
            <w:r>
              <w:t xml:space="preserve"> </w:t>
            </w:r>
            <w:r>
              <w:t xml:space="preserve">India Bangalore</w:t>
            </w:r>
          </w:p>
        </w:tc>
      </w:tr>
    </w:tbl>
    <w:p>
      <w:pPr>
        <w:pStyle w:val="BodyText"/>
      </w:pPr>
      <w:r>
        <w:t xml:space="preserve">2. Scope of Procurement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TechNova Solutions Pvt. Ltd. for the procurement of professional engineering services rendered by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to be deployed at our operational facility in</w:t>
      </w:r>
      <w:r>
        <w:t xml:space="preserve"> </w:t>
      </w:r>
      <w:r>
        <w:t xml:space="preserve">India Bangalore</w:t>
      </w:r>
      <w:r>
        <w:t xml:space="preserve">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be responsible for the design, development, testing, and maintenance of embedded systems, firmware, and hardware-software integration modules critical to our product line. The engagement is structured as a 12-month contract with the option to extend for an additional 12 months upon mutual written agreement.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report directly to the Head of Engineering 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office and shall be expected to work a standard 48-hour work week (Monday through Friday, 9:00 AM to 6:00 PM IST) with availability for critical project deadlines as communicated by the project management team.</w:t>
      </w:r>
    </w:p>
    <w:p>
      <w:pPr>
        <w:pStyle w:val="BodyText"/>
      </w:pPr>
      <w:r>
        <w:t xml:space="preserve">3. Itemized Procurement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services of a Senior</w:t>
            </w:r>
            <w:r>
              <w:t xml:space="preserve"> </w:t>
            </w:r>
            <w:r>
              <w:t xml:space="preserve">Computer Engineer</w:t>
            </w:r>
            <w:r>
              <w:t xml:space="preserve"> </w:t>
            </w:r>
            <w:r>
              <w:t xml:space="preserve">– Monthly retainer (includes salary, statutory benefits, and professional indemnity insurance)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₹29,40,000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background verification, and compliance documentation for the</w:t>
            </w:r>
            <w:r>
              <w:t xml:space="preserve"> </w:t>
            </w:r>
            <w:r>
              <w:t xml:space="preserve">Computer Engineer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t xml:space="preserve">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workstation, development tools, and lab equipment allocation for the</w:t>
            </w:r>
            <w:r>
              <w:t xml:space="preserve"> </w:t>
            </w:r>
            <w:r>
              <w:t xml:space="preserve">Computer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development, certification, and training budget for the</w:t>
            </w:r>
            <w:r>
              <w:t xml:space="preserve"> </w:t>
            </w:r>
            <w:r>
              <w:t xml:space="preserve">Computer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service management fee (recruitment, coordination, and HR support 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₹2,16,000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₹33,51,000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@ 18% (as applicable under Indian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₹6,03,180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₹39,54,180</w:t>
            </w:r>
          </w:p>
        </w:tc>
      </w:tr>
    </w:tbl>
    <w:p>
      <w:pPr>
        <w:pStyle w:val="BodyText"/>
      </w:pPr>
      <w:r>
        <w:t xml:space="preserve">4. Qualification Requirements for the Computer Engineer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must hold a minimum of a Bachelor's degree in Computer Engineering, Electronics &amp; Communication Engineering, or a related discipline from a recognized institution in India or abroad.</w:t>
      </w:r>
    </w:p>
    <w:p>
      <w:pPr>
        <w:numPr>
          <w:ilvl w:val="0"/>
          <w:numId w:val="1001"/>
        </w:numPr>
        <w:pStyle w:val="Compact"/>
      </w:pPr>
      <w:r>
        <w:t xml:space="preserve">A minimum of 7 years of progressive experience in embedded systems design, firmware development, and hardware-software co-design is mandatory for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role.</w:t>
      </w:r>
    </w:p>
    <w:p>
      <w:pPr>
        <w:numPr>
          <w:ilvl w:val="0"/>
          <w:numId w:val="1001"/>
        </w:numPr>
        <w:pStyle w:val="Compact"/>
      </w:pPr>
      <w:r>
        <w:t xml:space="preserve">Demonstrated proficiency in C/C++, Python, Verilog/VHDL, and experience with ARM, RISC-V, or x86 architectures is required of the</w:t>
      </w:r>
      <w:r>
        <w:t xml:space="preserve"> </w:t>
      </w:r>
      <w:r>
        <w:t xml:space="preserve">Computer Engineer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must be legally eligible to work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and must possess a valid PAN, Aadhaar, and bank account for salary disbursement.</w:t>
      </w:r>
    </w:p>
    <w:p>
      <w:pPr>
        <w:numPr>
          <w:ilvl w:val="0"/>
          <w:numId w:val="1001"/>
        </w:numPr>
        <w:pStyle w:val="Compact"/>
      </w:pPr>
      <w:r>
        <w:t xml:space="preserve">Strong understanding of PCB design, signal integrity, power management, and real-time operating systems (RTOS) is expected of the</w:t>
      </w:r>
      <w:r>
        <w:t xml:space="preserve"> </w:t>
      </w:r>
      <w:r>
        <w:t xml:space="preserve">Computer Engineer</w:t>
      </w:r>
      <w:r>
        <w:t xml:space="preserve">.</w:t>
      </w:r>
    </w:p>
    <w:p>
      <w:pPr>
        <w:pStyle w:val="FirstParagraph"/>
      </w:pPr>
      <w:r>
        <w:t xml:space="preserve">5. Terms and Conditions of the Purchase Order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on a monthly basis within 15 days of receipt of a valid tax invoice from the supplier. All payments shall be processed via NEFT/RTGS to the supplier's designated bank account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Delivery / Commencement:</w:t>
      </w:r>
      <w:r>
        <w:t xml:space="preserve"> </w:t>
      </w: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report for duty 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office no later than 1 July 2025. The supplier shall ensure all onboarding formalities are completed prior to this 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be bound by a Non-Disclosure Agreement (NDA) and Intellectual Property Assignment Agreement as per the standard terms of TechNova Solutions Pvt. Ltd. All work product created by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during the engagement shall be the sole property of the purchasing entity.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30 days' written notice. In the event of termination, the supplier shall facilitate a smooth transition and knowledge transfer for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role.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India. Any disputes shall be subject to the exclusive jurisdiction of the competent courts in</w:t>
      </w:r>
      <w:r>
        <w:t xml:space="preserve"> </w:t>
      </w:r>
      <w:r>
        <w:t xml:space="preserve">India Bangalore</w:t>
      </w:r>
      <w:r>
        <w:t xml:space="preserve">, Karnataka.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 supplier warrants that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comply with all applicable Indian labor laws, including the Payment of Wages Act, the Employees' Provident Funds Act, and the Professional Tax regulations applicable in the state of Karnataka,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Performance Review:</w:t>
      </w:r>
      <w:r>
        <w:t xml:space="preserve"> </w:t>
      </w: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undergo a formal performance review at the end of each quarter. Failure to meet the agreed Key Performance Indicators (KPIs) may result in renegotiation or termination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becomes effective upon signature by both parties. The supplier acknowledges receipt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confirms its ability to provide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as specified herein 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location.</w:t>
      </w:r>
    </w:p>
    <w:p>
      <w:pPr>
        <w:pStyle w:val="BodyText"/>
      </w:pPr>
      <w:r>
        <w:rPr>
          <w:bCs/>
          <w:b/>
        </w:rPr>
        <w:t xml:space="preserve">For TechNova Solutions Pvt. Ltd. (Buyer)</w:t>
      </w:r>
      <w:r>
        <w:br/>
      </w:r>
      <w:r>
        <w:t xml:space="preserve">Name: Rajesh Kumar Menon</w:t>
      </w:r>
      <w:r>
        <w:br/>
      </w:r>
      <w:r>
        <w:t xml:space="preserve">Designation: Chief Financial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Apex Engineering Talent Services LLP (Supplier)</w:t>
      </w:r>
      <w:r>
        <w:br/>
      </w:r>
      <w:r>
        <w:t xml:space="preserve">Name: Priya Sharma Iyer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(PO/BLR/2025/CE-0487) is a legally binding document for the procurement of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Bangalore</w:t>
      </w:r>
      <w:r>
        <w:t xml:space="preserve">. Unauthorized reproduction or distribution is prohibited. For queries, contact the Procurement Department at procurement@technova-solutions.in or visit our office at Whitefield,</w:t>
      </w:r>
      <w:r>
        <w:t xml:space="preserve"> </w:t>
      </w:r>
      <w:r>
        <w:t xml:space="preserve">India Bangalore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Computer Engineer - India Bangalore</dc:title>
  <dc:creator/>
  <dc:language>en</dc:language>
  <cp:keywords/>
  <dcterms:created xsi:type="dcterms:W3CDTF">2026-10-10T02:16:10Z</dcterms:created>
  <dcterms:modified xsi:type="dcterms:W3CDTF">2026-10-10T02:16:10Z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