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Guangzhou International Education Development Co., Ltd.</w:t>
      </w:r>
    </w:p>
    <w:p>
      <w:pPr>
        <w:pStyle w:val="BodyText"/>
      </w:pPr>
      <w:r>
        <w:t xml:space="preserve">No. 388 Tianhe Road, Tianhe District, Guangzhou, Guangdong Province, China 510630</w:t>
      </w:r>
    </w:p>
    <w:p>
      <w:pPr>
        <w:pStyle w:val="BodyText"/>
      </w:pPr>
      <w:r>
        <w:t xml:space="preserve">Tel: +86-20-8888-6600 | Email: procurement@gziedu.cn</w:t>
      </w:r>
    </w:p>
    <w:bookmarkEnd w:id="20"/>
    <w:p>
      <w:pPr>
        <w:pStyle w:val="BodyText"/>
      </w:pPr>
      <w:r>
        <w:rPr>
          <w:bCs/>
          <w:b/>
        </w:rPr>
        <w:t xml:space="preserve">Purchase Order No.:</w:t>
      </w:r>
      <w:r>
        <w:t xml:space="preserve"> </w:t>
      </w:r>
      <w:r>
        <w:t xml:space="preserve">PO-GZ-2025-04782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GZ-EDU-2025-Q3</w:t>
      </w:r>
      <w:r>
        <w:br/>
      </w:r>
      <w:r>
        <w:rPr>
          <w:bCs/>
          <w:b/>
        </w:rPr>
        <w:t xml:space="preserve">Payment Terms:</w:t>
      </w:r>
      <w:r>
        <w:t xml:space="preserve"> </w:t>
      </w:r>
      <w:r>
        <w:t xml:space="preserve">Net 45 Days</w:t>
      </w:r>
      <w:r>
        <w:br/>
      </w:r>
      <w:r>
        <w:rPr>
          <w:bCs/>
          <w:b/>
        </w:rPr>
        <w:t xml:space="preserve">Delivery Location:</w:t>
      </w:r>
      <w:r>
        <w:t xml:space="preserve"> </w:t>
      </w:r>
      <w:r>
        <w:t xml:space="preserve">China Guangzhou</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Guangzhou International Education Development Co., Ltd.</w:t>
            </w:r>
          </w:p>
        </w:tc>
        <w:tc>
          <w:tcPr/>
          <w:p>
            <w:pPr>
              <w:pStyle w:val="Compact"/>
              <w:jc w:val="left"/>
            </w:pPr>
            <w:r>
              <w:t xml:space="preserve">No. 388 Tianhe Road, Tianhe District, Guangzhou, Guangdong, China 510630</w:t>
            </w:r>
            <w:r>
              <w:br/>
            </w:r>
            <w:r>
              <w:t xml:space="preserve">Attn: Mr. Liang Wei, Director of Procurement</w:t>
            </w:r>
            <w:r>
              <w:br/>
            </w:r>
            <w:r>
              <w:t xml:space="preserve">Email: liang.wei@gziedu.cn</w:t>
            </w:r>
          </w:p>
        </w:tc>
      </w:tr>
      <w:tr>
        <w:tc>
          <w:tcPr/>
          <w:p>
            <w:pPr>
              <w:pStyle w:val="Compact"/>
              <w:jc w:val="left"/>
            </w:pPr>
            <w:r>
              <w:rPr>
                <w:bCs/>
                <w:b/>
              </w:rPr>
              <w:t xml:space="preserve">Supplier (Service Provider)</w:t>
            </w:r>
          </w:p>
        </w:tc>
        <w:tc>
          <w:tcPr/>
          <w:p>
            <w:pPr>
              <w:pStyle w:val="Compact"/>
              <w:jc w:val="left"/>
            </w:pPr>
            <w:r>
              <w:t xml:space="preserve">Apex Curriculum Solutions International Ltd.</w:t>
            </w:r>
          </w:p>
        </w:tc>
        <w:tc>
          <w:tcPr/>
          <w:p>
            <w:pPr>
              <w:pStyle w:val="Compact"/>
              <w:jc w:val="left"/>
            </w:pPr>
            <w:r>
              <w:t xml:space="preserve">1200 Innovation Boulevard, Suite 450, Guangzhou, Guangdong, China 510663</w:t>
            </w:r>
            <w:r>
              <w:br/>
            </w:r>
            <w:r>
              <w:t xml:space="preserve">Attn: Dr. Sarah Chen, Managing Director</w:t>
            </w:r>
            <w:r>
              <w:br/>
            </w:r>
            <w:r>
              <w:t xml:space="preserve">Email: s.chen@apexcurriculum.com</w:t>
            </w:r>
          </w:p>
        </w:tc>
      </w:tr>
    </w:tbl>
    <w:bookmarkEnd w:id="21"/>
    <w:bookmarkStart w:id="22" w:name="description-of-goods-services"/>
    <w:p>
      <w:pPr>
        <w:pStyle w:val="Heading2"/>
      </w:pPr>
      <w:r>
        <w:t xml:space="preserve">2. Description of Goods / Services</w:t>
      </w:r>
    </w:p>
    <w:p>
      <w:pPr>
        <w:pStyle w:val="FirstParagraph"/>
      </w:pPr>
      <w:r>
        <w:t xml:space="preserve">This</w:t>
      </w:r>
      <w:r>
        <w:t xml:space="preserve"> </w:t>
      </w:r>
      <w:r>
        <w:t xml:space="preserve">Purchase Order</w:t>
      </w:r>
      <w:r>
        <w:t xml:space="preserve"> </w:t>
      </w:r>
      <w:r>
        <w:t xml:space="preserve">is issued by Guangzhou International Education Development Co., Ltd. (hereinafter referred to as the "Buyer") to Apex Curriculum Solutions International Ltd. (hereinafter referred to as the "Supplier") for the engagement of a qualified</w:t>
      </w:r>
      <w:r>
        <w:t xml:space="preserve"> </w:t>
      </w:r>
      <w:r>
        <w:t xml:space="preserve">Curriculum Developer</w:t>
      </w:r>
      <w:r>
        <w:t xml:space="preserve"> </w:t>
      </w:r>
      <w:r>
        <w:t xml:space="preserve">to design, develop, and deliver a comprehensive K-12 bilingual curriculum framework for implementation across the Buyer's network of partner schools located in</w:t>
      </w:r>
      <w:r>
        <w:t xml:space="preserve"> </w:t>
      </w:r>
      <w:r>
        <w:t xml:space="preserve">China Guangzhou</w:t>
      </w:r>
      <w:r>
        <w:t xml:space="preserve">. The</w:t>
      </w:r>
      <w:r>
        <w:t xml:space="preserve"> </w:t>
      </w:r>
      <w:r>
        <w:t xml:space="preserve">Curriculum Developer</w:t>
      </w:r>
      <w:r>
        <w:t xml:space="preserve"> </w:t>
      </w:r>
      <w:r>
        <w:t xml:space="preserve">shall be responsible for the full lifecycle of curriculum design, including needs assessment, learning objective formulation, content authoring, assessment design, teacher training materials, and ongoing pedagogical review, all tailored to the specific educational standards and regulatory requirements of the Guangzhou Municipal Education Bureau.</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Senior</w:t>
            </w:r>
            <w:r>
              <w:t xml:space="preserve"> </w:t>
            </w:r>
            <w:r>
              <w:t xml:space="preserve">Curriculum Developer</w:t>
            </w:r>
            <w:r>
              <w:t xml:space="preserve"> </w:t>
            </w:r>
            <w:r>
              <w:t xml:space="preserve">– Full-time engagement (12 months) for K-12 bilingual curriculum design, content development, and pedagogical framework creation for schools in</w:t>
            </w:r>
            <w:r>
              <w:t xml:space="preserve"> </w:t>
            </w:r>
            <w:r>
              <w:t xml:space="preserve">China Guangzhou</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2</w:t>
            </w:r>
          </w:p>
        </w:tc>
        <w:tc>
          <w:tcPr/>
          <w:p>
            <w:pPr>
              <w:pStyle w:val="Compact"/>
              <w:jc w:val="left"/>
            </w:pPr>
            <w:r>
              <w:t xml:space="preserve">Curriculum Development Software &amp; Licensing – Authoring tools, LMS integration modules, and digital content creation platforms required by the</w:t>
            </w:r>
            <w:r>
              <w:t xml:space="preserve"> </w:t>
            </w:r>
            <w:r>
              <w:t xml:space="preserve">Curriculum Developer</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3</w:t>
            </w:r>
          </w:p>
        </w:tc>
        <w:tc>
          <w:tcPr/>
          <w:p>
            <w:pPr>
              <w:pStyle w:val="Compact"/>
              <w:jc w:val="left"/>
            </w:pPr>
            <w:r>
              <w:t xml:space="preserve">Teacher Training &amp; Professional Development Workshops – 8 sessions conducted by the</w:t>
            </w:r>
            <w:r>
              <w:t xml:space="preserve"> </w:t>
            </w:r>
            <w:r>
              <w:t xml:space="preserve">Curriculum Developer</w:t>
            </w:r>
            <w:r>
              <w:t xml:space="preserve"> </w:t>
            </w:r>
            <w:r>
              <w:t xml:space="preserve">for 200+ educators across Guangzhou partner schools</w:t>
            </w:r>
          </w:p>
        </w:tc>
        <w:tc>
          <w:tcPr/>
          <w:p>
            <w:pPr>
              <w:pStyle w:val="Compact"/>
              <w:jc w:val="left"/>
            </w:pPr>
            <w:r>
              <w:t xml:space="preserve">8</w:t>
            </w:r>
          </w:p>
        </w:tc>
        <w:tc>
          <w:tcPr/>
          <w:p>
            <w:pPr>
              <w:pStyle w:val="Compact"/>
              <w:jc w:val="left"/>
            </w:pPr>
            <w:r>
              <w:t xml:space="preserve">18,500.00</w:t>
            </w:r>
          </w:p>
        </w:tc>
        <w:tc>
          <w:tcPr/>
          <w:p>
            <w:pPr>
              <w:pStyle w:val="Compact"/>
              <w:jc w:val="left"/>
            </w:pPr>
            <w:r>
              <w:t xml:space="preserve">148,000.00</w:t>
            </w:r>
          </w:p>
        </w:tc>
      </w:tr>
      <w:tr>
        <w:tc>
          <w:tcPr/>
          <w:p>
            <w:pPr>
              <w:pStyle w:val="Compact"/>
              <w:jc w:val="left"/>
            </w:pPr>
            <w:r>
              <w:t xml:space="preserve">4</w:t>
            </w:r>
          </w:p>
        </w:tc>
        <w:tc>
          <w:tcPr/>
          <w:p>
            <w:pPr>
              <w:pStyle w:val="Compact"/>
              <w:jc w:val="left"/>
            </w:pPr>
            <w:r>
              <w:t xml:space="preserve">Assessment &amp; Evaluation Framework Design – Standardized testing instruments, rubrics, and progress-tracking systems aligned with China Guangzhou municipal education standards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On-site Consultation &amp; Implementation Support – 24 on-site visits to schools in</w:t>
            </w:r>
            <w:r>
              <w:t xml:space="preserve"> </w:t>
            </w:r>
            <w:r>
              <w:t xml:space="preserve">China Guangzhou</w:t>
            </w:r>
            <w:r>
              <w:t xml:space="preserve"> </w:t>
            </w:r>
            <w:r>
              <w:t xml:space="preserve">for curriculum rollout, feedback collection, and iterative refinement</w:t>
            </w:r>
          </w:p>
        </w:tc>
        <w:tc>
          <w:tcPr/>
          <w:p>
            <w:pPr>
              <w:pStyle w:val="Compact"/>
              <w:jc w:val="left"/>
            </w:pPr>
            <w:r>
              <w:t xml:space="preserve">24</w:t>
            </w:r>
          </w:p>
        </w:tc>
        <w:tc>
          <w:tcPr/>
          <w:p>
            <w:pPr>
              <w:pStyle w:val="Compact"/>
              <w:jc w:val="left"/>
            </w:pPr>
            <w:r>
              <w:t xml:space="preserve">6,200.00</w:t>
            </w:r>
          </w:p>
        </w:tc>
        <w:tc>
          <w:tcPr/>
          <w:p>
            <w:pPr>
              <w:pStyle w:val="Compact"/>
              <w:jc w:val="left"/>
            </w:pPr>
            <w:r>
              <w:t xml:space="preserve">148,800.00</w:t>
            </w:r>
          </w:p>
        </w:tc>
      </w:tr>
      <w:tr>
        <w:tc>
          <w:tcPr/>
          <w:p>
            <w:pPr>
              <w:pStyle w:val="Compact"/>
              <w:jc w:val="left"/>
            </w:pPr>
            <w:r>
              <w:t xml:space="preserve">6</w:t>
            </w:r>
          </w:p>
        </w:tc>
        <w:tc>
          <w:tcPr/>
          <w:p>
            <w:pPr>
              <w:pStyle w:val="Compact"/>
              <w:jc w:val="left"/>
            </w:pPr>
            <w:r>
              <w:t xml:space="preserve">Documentation &amp; IP Transfer – Complete curriculum documentation, source files, and intellectual property transfer upon project completion</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gridSpan w:val="4"/>
          </w:tcPr>
          <w:p>
            <w:pPr>
              <w:pStyle w:val="Compact"/>
              <w:jc w:val="right"/>
            </w:pPr>
            <w:r>
              <w:t xml:space="preserve">Subtotal</w:t>
            </w:r>
          </w:p>
        </w:tc>
        <w:tc>
          <w:tcPr/>
          <w:p>
            <w:pPr>
              <w:pStyle w:val="Compact"/>
              <w:jc w:val="left"/>
            </w:pPr>
            <w:r>
              <w:t xml:space="preserve">1,068,800.00</w:t>
            </w:r>
          </w:p>
        </w:tc>
      </w:tr>
      <w:tr>
        <w:tc>
          <w:tcPr>
            <w:gridSpan w:val="4"/>
          </w:tcPr>
          <w:p>
            <w:pPr>
              <w:pStyle w:val="Compact"/>
              <w:jc w:val="right"/>
            </w:pPr>
            <w:r>
              <w:t xml:space="preserve">VAT (6%)</w:t>
            </w:r>
          </w:p>
        </w:tc>
        <w:tc>
          <w:tcPr/>
          <w:p>
            <w:pPr>
              <w:pStyle w:val="Compact"/>
              <w:jc w:val="left"/>
            </w:pPr>
            <w:r>
              <w:t xml:space="preserve">64,128.00</w:t>
            </w:r>
          </w:p>
        </w:tc>
      </w:tr>
      <w:tr>
        <w:tc>
          <w:tcPr>
            <w:gridSpan w:val="4"/>
          </w:tcPr>
          <w:p>
            <w:pPr>
              <w:pStyle w:val="Compact"/>
              <w:jc w:val="right"/>
            </w:pPr>
            <w:r>
              <w:t xml:space="preserve">TOTAL AMOUNT DUE (CNY)</w:t>
            </w:r>
          </w:p>
        </w:tc>
        <w:tc>
          <w:tcPr/>
          <w:p>
            <w:pPr>
              <w:pStyle w:val="Compact"/>
              <w:jc w:val="left"/>
            </w:pPr>
            <w:r>
              <w:t xml:space="preserve">1,132,928.00</w:t>
            </w:r>
          </w:p>
        </w:tc>
      </w:tr>
    </w:tbl>
    <w:bookmarkEnd w:id="22"/>
    <w:bookmarkStart w:id="23" w:name="scope-of-work-deliverables"/>
    <w:p>
      <w:pPr>
        <w:pStyle w:val="Heading2"/>
      </w:pPr>
      <w:r>
        <w:t xml:space="preserve">3. Scope of Work &amp; Deliverables</w:t>
      </w:r>
    </w:p>
    <w:p>
      <w:pPr>
        <w:pStyle w:val="FirstParagraph"/>
      </w:pPr>
      <w:r>
        <w:t xml:space="preserve">The</w:t>
      </w:r>
      <w:r>
        <w:t xml:space="preserve"> </w:t>
      </w:r>
      <w:r>
        <w:t xml:space="preserve">Curriculum Developer</w:t>
      </w:r>
      <w:r>
        <w:t xml:space="preserve"> </w:t>
      </w:r>
      <w:r>
        <w:t xml:space="preserve">engaged under this</w:t>
      </w:r>
      <w:r>
        <w:t xml:space="preserve"> </w:t>
      </w:r>
      <w:r>
        <w:t xml:space="preserve">Purchase Order</w:t>
      </w:r>
      <w:r>
        <w:t xml:space="preserve"> </w:t>
      </w:r>
      <w:r>
        <w:t xml:space="preserve">shall deliver the following milestones, all of which must be completed and approved within the</w:t>
      </w:r>
      <w:r>
        <w:t xml:space="preserve"> </w:t>
      </w:r>
      <w:r>
        <w:t xml:space="preserve">China Guangzhou</w:t>
      </w:r>
      <w:r>
        <w:t xml:space="preserve"> </w:t>
      </w:r>
      <w:r>
        <w:t xml:space="preserve">operational context:</w:t>
      </w:r>
    </w:p>
    <w:p>
      <w:pPr>
        <w:numPr>
          <w:ilvl w:val="0"/>
          <w:numId w:val="1001"/>
        </w:numPr>
        <w:pStyle w:val="Compact"/>
      </w:pPr>
      <w:r>
        <w:rPr>
          <w:bCs/>
          <w:b/>
        </w:rPr>
        <w:t xml:space="preserve">Milestone 1 (Weeks 1–6):</w:t>
      </w:r>
      <w:r>
        <w:t xml:space="preserve"> </w:t>
      </w:r>
      <w:r>
        <w:t xml:space="preserve">Comprehensive needs assessment and stakeholder consultation with school administrators, subject teachers, and the Guangzhou Municipal Education Bureau representatives. Delivery of a Curriculum Design Blueprint.</w:t>
      </w:r>
    </w:p>
    <w:p>
      <w:pPr>
        <w:numPr>
          <w:ilvl w:val="0"/>
          <w:numId w:val="1001"/>
        </w:numPr>
        <w:pStyle w:val="Compact"/>
      </w:pPr>
      <w:r>
        <w:rPr>
          <w:bCs/>
          <w:b/>
        </w:rPr>
        <w:t xml:space="preserve">Milestone 2 (Weeks 7–16):</w:t>
      </w:r>
      <w:r>
        <w:t xml:space="preserve"> </w:t>
      </w:r>
      <w:r>
        <w:t xml:space="preserve">Full authoring of K-12 curriculum content across Mathematics, Science, English Language, and Social Studies, incorporating bilingual (Mandarin English) instructional materials.</w:t>
      </w:r>
    </w:p>
    <w:p>
      <w:pPr>
        <w:numPr>
          <w:ilvl w:val="0"/>
          <w:numId w:val="1001"/>
        </w:numPr>
        <w:pStyle w:val="Compact"/>
      </w:pPr>
      <w:r>
        <w:rPr>
          <w:bCs/>
          <w:b/>
        </w:rPr>
        <w:t xml:space="preserve">Milestone 3 (Weeks 17–24):</w:t>
      </w:r>
      <w:r>
        <w:t xml:space="preserve"> </w:t>
      </w:r>
      <w:r>
        <w:t xml:space="preserve">Development of assessment instruments, learning progressions, and differentiated instruction strategies. Completion of the Teacher Training Manual.</w:t>
      </w:r>
    </w:p>
    <w:p>
      <w:pPr>
        <w:numPr>
          <w:ilvl w:val="0"/>
          <w:numId w:val="1001"/>
        </w:numPr>
        <w:pStyle w:val="Compact"/>
      </w:pPr>
      <w:r>
        <w:rPr>
          <w:bCs/>
          <w:b/>
        </w:rPr>
        <w:t xml:space="preserve">Milestone 4 (Weeks 25–36):</w:t>
      </w:r>
      <w:r>
        <w:t xml:space="preserve"> </w:t>
      </w:r>
      <w:r>
        <w:t xml:space="preserve">Pilot implementation in 4 partner schools in</w:t>
      </w:r>
      <w:r>
        <w:t xml:space="preserve"> </w:t>
      </w:r>
      <w:r>
        <w:t xml:space="preserve">China Guangzhou</w:t>
      </w:r>
      <w:r>
        <w:t xml:space="preserve">, collection of formative feedback, and iterative revision of all curriculum materials.</w:t>
      </w:r>
    </w:p>
    <w:p>
      <w:pPr>
        <w:numPr>
          <w:ilvl w:val="0"/>
          <w:numId w:val="1001"/>
        </w:numPr>
        <w:pStyle w:val="Compact"/>
      </w:pPr>
      <w:r>
        <w:rPr>
          <w:bCs/>
          <w:b/>
        </w:rPr>
        <w:t xml:space="preserve">Milestone 5 (Weeks 37–48):</w:t>
      </w:r>
      <w:r>
        <w:t xml:space="preserve"> </w:t>
      </w:r>
      <w:r>
        <w:t xml:space="preserve">Finalization of all deliverables, completion of IP transfer documentation, and submission of the Final Project Report to the Buyer.</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Payment Tranche</w:t>
            </w:r>
          </w:p>
        </w:tc>
        <w:tc>
          <w:tcPr/>
          <w:p>
            <w:pPr>
              <w:pStyle w:val="Compact"/>
              <w:jc w:val="left"/>
            </w:pPr>
            <w:r>
              <w:t xml:space="preserve">Trigger Event</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Tranche 1 – 30%</w:t>
            </w:r>
          </w:p>
        </w:tc>
        <w:tc>
          <w:tcPr/>
          <w:p>
            <w:pPr>
              <w:pStyle w:val="Compact"/>
              <w:jc w:val="left"/>
            </w:pPr>
            <w:r>
              <w:t xml:space="preserve">Upon execution of this Purchase Order</w:t>
            </w:r>
          </w:p>
        </w:tc>
        <w:tc>
          <w:tcPr/>
          <w:p>
            <w:pPr>
              <w:pStyle w:val="Compact"/>
              <w:jc w:val="left"/>
            </w:pPr>
            <w:r>
              <w:t xml:space="preserve">339,878.40</w:t>
            </w:r>
          </w:p>
        </w:tc>
        <w:tc>
          <w:tcPr/>
          <w:p>
            <w:pPr>
              <w:pStyle w:val="Compact"/>
              <w:jc w:val="left"/>
            </w:pPr>
            <w:r>
              <w:t xml:space="preserve">20 June 2025</w:t>
            </w:r>
          </w:p>
        </w:tc>
      </w:tr>
      <w:tr>
        <w:tc>
          <w:tcPr/>
          <w:p>
            <w:pPr>
              <w:pStyle w:val="Compact"/>
              <w:jc w:val="left"/>
            </w:pPr>
            <w:r>
              <w:t xml:space="preserve">Tranche 2 – 25%</w:t>
            </w:r>
          </w:p>
        </w:tc>
        <w:tc>
          <w:tcPr/>
          <w:p>
            <w:pPr>
              <w:pStyle w:val="Compact"/>
              <w:jc w:val="left"/>
            </w:pPr>
            <w:r>
              <w:t xml:space="preserve">Upon approval of Milestone 2 deliverables</w:t>
            </w:r>
          </w:p>
        </w:tc>
        <w:tc>
          <w:tcPr/>
          <w:p>
            <w:pPr>
              <w:pStyle w:val="Compact"/>
              <w:jc w:val="left"/>
            </w:pPr>
            <w:r>
              <w:t xml:space="preserve">283,232.00</w:t>
            </w:r>
          </w:p>
        </w:tc>
        <w:tc>
          <w:tcPr/>
          <w:p>
            <w:pPr>
              <w:pStyle w:val="Compact"/>
              <w:jc w:val="left"/>
            </w:pPr>
            <w:r>
              <w:t xml:space="preserve">15 October 2025</w:t>
            </w:r>
          </w:p>
        </w:tc>
      </w:tr>
      <w:tr>
        <w:tc>
          <w:tcPr/>
          <w:p>
            <w:pPr>
              <w:pStyle w:val="Compact"/>
              <w:jc w:val="left"/>
            </w:pPr>
            <w:r>
              <w:t xml:space="preserve">Tranche 3 – 25%</w:t>
            </w:r>
          </w:p>
        </w:tc>
        <w:tc>
          <w:tcPr/>
          <w:p>
            <w:pPr>
              <w:pStyle w:val="Compact"/>
              <w:jc w:val="left"/>
            </w:pPr>
            <w:r>
              <w:t xml:space="preserve">Upon approval of Milestone 4 (Pilot Completion)</w:t>
            </w:r>
          </w:p>
        </w:tc>
        <w:tc>
          <w:tcPr/>
          <w:p>
            <w:pPr>
              <w:pStyle w:val="Compact"/>
              <w:jc w:val="left"/>
            </w:pPr>
            <w:r>
              <w:t xml:space="preserve">283,232.00</w:t>
            </w:r>
          </w:p>
        </w:tc>
        <w:tc>
          <w:tcPr/>
          <w:p>
            <w:pPr>
              <w:pStyle w:val="Compact"/>
              <w:jc w:val="left"/>
            </w:pPr>
            <w:r>
              <w:t xml:space="preserve">15 January 2026</w:t>
            </w:r>
          </w:p>
        </w:tc>
      </w:tr>
      <w:tr>
        <w:tc>
          <w:tcPr/>
          <w:p>
            <w:pPr>
              <w:pStyle w:val="Compact"/>
              <w:jc w:val="left"/>
            </w:pPr>
            <w:r>
              <w:t xml:space="preserve">Tranche 4 – 20%</w:t>
            </w:r>
          </w:p>
        </w:tc>
        <w:tc>
          <w:tcPr/>
          <w:p>
            <w:pPr>
              <w:pStyle w:val="Compact"/>
              <w:jc w:val="left"/>
            </w:pPr>
            <w:r>
              <w:t xml:space="preserve">Upon final acceptance and IP transfer (Milestone 5)</w:t>
            </w:r>
          </w:p>
        </w:tc>
        <w:tc>
          <w:tcPr/>
          <w:p>
            <w:pPr>
              <w:pStyle w:val="Compact"/>
              <w:jc w:val="left"/>
            </w:pPr>
            <w:r>
              <w:t xml:space="preserve">226,585.60</w:t>
            </w:r>
          </w:p>
        </w:tc>
        <w:tc>
          <w:tcPr/>
          <w:p>
            <w:pPr>
              <w:pStyle w:val="Compact"/>
              <w:jc w:val="left"/>
            </w:pPr>
            <w:r>
              <w:t xml:space="preserve">15 March 2026</w:t>
            </w:r>
          </w:p>
        </w:tc>
      </w:tr>
    </w:tbl>
    <w:p>
      <w:pPr>
        <w:pStyle w:val="BodyText"/>
      </w:pPr>
      <w:r>
        <w:t xml:space="preserve">All payments shall be made via bank transfer to the Supplier's designated account in RMB (CNY). The Buyer reserves the right to withhold any tranche if the corresponding deliverables do not meet the quality standards specified in this</w:t>
      </w:r>
      <w:r>
        <w:t xml:space="preserve"> </w:t>
      </w:r>
      <w:r>
        <w:t xml:space="preserve">Purchase Order</w:t>
      </w:r>
      <w:r>
        <w:t xml:space="preserv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People's Republic of China. Any disputes arising from this agreement shall be resolved through arbitration in Guangzhou, Guangdong Province, in accordance with the rules of the China International Economic and Trade Arbitration Commission (CIETAC).</w:t>
      </w:r>
    </w:p>
    <w:p>
      <w:pPr>
        <w:numPr>
          <w:ilvl w:val="0"/>
          <w:numId w:val="1002"/>
        </w:numPr>
        <w:pStyle w:val="Compact"/>
      </w:pPr>
      <w:r>
        <w:t xml:space="preserve">The</w:t>
      </w:r>
      <w:r>
        <w:t xml:space="preserve"> </w:t>
      </w:r>
      <w:r>
        <w:t xml:space="preserve">Curriculum Developer</w:t>
      </w:r>
      <w:r>
        <w:t xml:space="preserve"> </w:t>
      </w:r>
      <w:r>
        <w:t xml:space="preserve">shall comply with all applicable regulations of the Guangzhou Municipal Education Bureau, the Ministry of Education of the People's Republic of China, and all local educational standards in force in</w:t>
      </w:r>
      <w:r>
        <w:t xml:space="preserve"> </w:t>
      </w:r>
      <w:r>
        <w:t xml:space="preserve">China Guangzhou</w:t>
      </w:r>
      <w:r>
        <w:t xml:space="preserve"> </w:t>
      </w:r>
      <w:r>
        <w:t xml:space="preserve">at the time of delivery.</w:t>
      </w:r>
    </w:p>
    <w:p>
      <w:pPr>
        <w:numPr>
          <w:ilvl w:val="0"/>
          <w:numId w:val="1002"/>
        </w:numPr>
        <w:pStyle w:val="Compact"/>
      </w:pPr>
      <w:r>
        <w:t xml:space="preserve">All intellectual property created by the</w:t>
      </w:r>
      <w:r>
        <w:t xml:space="preserve"> </w:t>
      </w:r>
      <w:r>
        <w:t xml:space="preserve">Curriculum Developer</w:t>
      </w:r>
      <w:r>
        <w:t xml:space="preserve"> </w:t>
      </w:r>
      <w:r>
        <w:t xml:space="preserve">under this</w:t>
      </w:r>
      <w:r>
        <w:t xml:space="preserve"> </w:t>
      </w:r>
      <w:r>
        <w:t xml:space="preserve">Purchase Order</w:t>
      </w:r>
      <w:r>
        <w:t xml:space="preserve"> </w:t>
      </w:r>
      <w:r>
        <w:t xml:space="preserve">shall, upon full payment, become the sole property of the Buyer. The Supplier shall execute all necessary assignment documents.</w:t>
      </w:r>
    </w:p>
    <w:p>
      <w:pPr>
        <w:numPr>
          <w:ilvl w:val="0"/>
          <w:numId w:val="1002"/>
        </w:numPr>
        <w:pStyle w:val="Compact"/>
      </w:pPr>
      <w:r>
        <w:t xml:space="preserve">The Supplier warrants that the</w:t>
      </w:r>
      <w:r>
        <w:t xml:space="preserve"> </w:t>
      </w:r>
      <w:r>
        <w:t xml:space="preserve">Curriculum Developer</w:t>
      </w:r>
      <w:r>
        <w:t xml:space="preserve"> </w:t>
      </w:r>
      <w:r>
        <w:t xml:space="preserve">assigned to this project holds a minimum of a Master's degree in Curriculum Design, Educational Technology, or a related field, and possesses no fewer than eight (8) years of professional experience in K-12 curriculum development.</w:t>
      </w:r>
    </w:p>
    <w:p>
      <w:pPr>
        <w:numPr>
          <w:ilvl w:val="0"/>
          <w:numId w:val="1002"/>
        </w:numPr>
        <w:pStyle w:val="Compact"/>
      </w:pPr>
      <w:r>
        <w:t xml:space="preserve">Confidentiality: Both parties agree to maintain strict confidentiality of all proprietary information, student data, and internal educational strategies shared during the course of this engagement in</w:t>
      </w:r>
      <w:r>
        <w:t xml:space="preserve"> </w:t>
      </w:r>
      <w:r>
        <w:t xml:space="preserve">China Guangzhou</w:t>
      </w:r>
      <w:r>
        <w:t xml:space="preserve">.</w:t>
      </w:r>
    </w:p>
    <w:p>
      <w:pPr>
        <w:numPr>
          <w:ilvl w:val="0"/>
          <w:numId w:val="1002"/>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 Buyer shall pay for all services rendered and approved deliverables up to the date of termination.</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government mandates, or public health emergencies affecting operations in</w:t>
      </w:r>
      <w:r>
        <w:t xml:space="preserve"> </w:t>
      </w:r>
      <w:r>
        <w:t xml:space="preserve">China Guangzhou</w:t>
      </w:r>
      <w:r>
        <w:t xml:space="preserve">.</w:t>
      </w:r>
    </w:p>
    <w:p>
      <w:pPr>
        <w:numPr>
          <w:ilvl w:val="0"/>
          <w:numId w:val="1002"/>
        </w:numPr>
        <w:pStyle w:val="Compact"/>
      </w:pPr>
      <w:r>
        <w:t xml:space="preserve">Warranty: The Supplier warrants that all curriculum materials shall be free from defects in design and content for a period of twelve (12) months following final acceptance. Any material errors discovered within this period shall be corrected at the Supplier's sole expense.</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Curriculum Developer</w:t>
      </w:r>
      <w:r>
        <w:t xml:space="preserve"> </w:t>
      </w:r>
      <w:r>
        <w:t xml:space="preserve">for educational services to be delivered in</w:t>
      </w:r>
      <w:r>
        <w:t xml:space="preserve"> </w:t>
      </w:r>
      <w:r>
        <w:t xml:space="preserve">China Guangzhou</w:t>
      </w:r>
      <w:r>
        <w:t xml:space="preserve">.</w:t>
      </w:r>
    </w:p>
    <w:bookmarkEnd w:id="26"/>
    <w:p>
      <w:pPr>
        <w:pStyle w:val="BodyText"/>
      </w:pPr>
      <w:r>
        <w:rPr>
          <w:bCs/>
          <w:b/>
        </w:rPr>
        <w:t xml:space="preserve">For and on behalf of the Buyer:</w:t>
      </w:r>
    </w:p>
    <w:p>
      <w:pPr>
        <w:pStyle w:val="BodyText"/>
      </w:pPr>
      <w:r>
        <w:t xml:space="preserve">Guangzhou International Education Development Co., Ltd.</w:t>
      </w:r>
    </w:p>
    <w:p>
      <w:pPr>
        <w:pStyle w:val="BodyText"/>
      </w:pPr>
      <w:r>
        <w:t xml:space="preserve">Name: Liang Wei</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Apex Curriculum Solutions International Ltd.</w:t>
      </w:r>
    </w:p>
    <w:p>
      <w:pPr>
        <w:pStyle w:val="BodyText"/>
      </w:pPr>
      <w:r>
        <w:t xml:space="preserve">Name: Dr. Sarah Chen</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(PO-GZ-2025-04782) is issued by Guangzhou International Education Development Co., Ltd. for Curriculum Developer services in China Guangzhou. This document is valid for 90 days from the date of issue. Unauthorized reproduction or distribution is prohibited. © 2025 Guangzhou International Education Development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China Guangzhou</dc:title>
  <dc:creator/>
  <dc:language>en</dc:language>
  <cp:keywords/>
  <dcterms:created xsi:type="dcterms:W3CDTF">2026-10-10T02:45:46Z</dcterms:created>
  <dcterms:modified xsi:type="dcterms:W3CDTF">2026-10-10T02:45:46Z</dcterms:modified>
</cp:coreProperties>
</file>

<file path=docProps/custom.xml><?xml version="1.0" encoding="utf-8"?>
<Properties xmlns="http://schemas.openxmlformats.org/officeDocument/2006/custom-properties" xmlns:vt="http://schemas.openxmlformats.org/officeDocument/2006/docPropsVTypes"/>
</file>