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PO No. MIA-2025-04782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  <w:r>
        <w:br/>
      </w:r>
      <w:r>
        <w:rPr>
          <w:bCs/>
          <w:b/>
        </w:rPr>
        <w:t xml:space="preserve">PO Reference:</w:t>
      </w:r>
      <w:r>
        <w:t xml:space="preserve"> </w:t>
      </w:r>
      <w:r>
        <w:t xml:space="preserve">MIA-2025-04782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United States Miami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USD ($)</w:t>
      </w:r>
    </w:p>
    <w:p>
      <w:pPr>
        <w:pStyle w:val="BodyText"/>
      </w:pPr>
      <w:r>
        <w:t xml:space="preserve">1. Purchasing Entity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South Florida Educational Innovation Institute,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2847 Brickell Avenue, Suite 1400, United States Miami, FL 33133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Margaret Ellison, Director of Academic Programs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m.ellison@sfei-institute.edu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(305) 555-0192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(EIN):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82-4471903</w:t>
            </w:r>
          </w:p>
        </w:tc>
      </w:tr>
    </w:tbl>
    <w:p>
      <w:pPr>
        <w:pStyle w:val="BodyText"/>
      </w:pPr>
      <w:r>
        <w:t xml:space="preserve">2. Vendor / Service Provider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Learning Design &amp; Development Group, Inc.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1150 Biscayne Boulevard, Floor 7, United States Miami, FL 33132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Daniel Torres, Senior Curriculum Developer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d.torres@apexlearningdesign.com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(305) 555-0347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(EIN):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59-8823417</w:t>
            </w:r>
          </w:p>
        </w:tc>
      </w:tr>
    </w:tbl>
    <w:p>
      <w:pPr>
        <w:pStyle w:val="BodyText"/>
      </w:pPr>
      <w:r>
        <w:t xml:space="preserve">3. Scope of Services – Curriculum Developer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South Florida Educational Innovation Institute, LLC, located in</w:t>
      </w:r>
      <w:r>
        <w:t xml:space="preserve"> </w:t>
      </w:r>
      <w:r>
        <w:t xml:space="preserve">United States Miami</w:t>
      </w:r>
      <w:r>
        <w:t xml:space="preserve">, to formally authorize and procure the professional services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for the design, development, and implementation of a comprehensive K-12 STEM curriculum framework.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operate out of the vendor's office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and shall report directly to the Director of Academic Programs.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Florida Department of Education standards and the Common Core State Standards as adopted in the state of Florida.</w:t>
      </w:r>
    </w:p>
    <w:p>
      <w:pPr>
        <w:pStyle w:val="BodyText"/>
      </w:pPr>
      <w:r>
        <w:t xml:space="preserve">4.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Needs Assessment &amp; Learning Outcome Mapping (K-12 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Full Curriculum Design &amp; Content Development (Grades K-5, 6-8, 9-12)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Assessment &amp; Evaluation Instrument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Teacher Training Materials &amp; Professional Development Workshops (4 sessions in United States Miami)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Digital Learning Platform Integration &amp; LMS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Ongoing Revision, Quality Assurance &amp; Annual Updates (12-month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$156,550.00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Florida State Sales Tax (7%):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$10,958.50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$167,508.50</w:t>
            </w:r>
          </w:p>
        </w:tc>
      </w:tr>
    </w:tbl>
    <w:p>
      <w:pPr>
        <w:pStyle w:val="BodyText"/>
      </w:pPr>
      <w:r>
        <w:t xml:space="preserve">5. Delivery Schedule and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Completion of Needs Assessment &amp; Learning Outcome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K-5 Curriculum Framework &amp; Content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30,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6-8 and 9-12 Curriculum Frameworks &amp; Content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30,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Instruments &amp; Teacher Training Workshops (United States Miami)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15,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Platform Integration &amp; Final QA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March 1,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Revision &amp; Update Cycle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1, 2026</w:t>
            </w:r>
          </w:p>
        </w:tc>
      </w:tr>
    </w:tbl>
    <w:p>
      <w:pPr>
        <w:pStyle w:val="BodyText"/>
      </w:pPr>
      <w:r>
        <w:t xml:space="preserve">6. Terms and Conditions</w:t>
      </w:r>
    </w:p>
    <w:p>
      <w:pPr>
        <w:pStyle w:val="BodyText"/>
      </w:pPr>
      <w:r>
        <w:rPr>
          <w:bCs/>
          <w:b/>
        </w:rPr>
        <w:t xml:space="preserve">6.1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South Florida Educational Innovation Institute, LLC, and Apex Learning Design &amp; Development Group, Inc., both operating within</w:t>
      </w:r>
      <w:r>
        <w:t xml:space="preserve"> </w:t>
      </w:r>
      <w:r>
        <w:t xml:space="preserve">United States Miami</w:t>
      </w:r>
      <w:r>
        <w:t xml:space="preserve">, Florida. All terms herein shall be governed by the laws of the State of Florida and the federal laws of the United States of America.</w:t>
      </w:r>
    </w:p>
    <w:p>
      <w:pPr>
        <w:pStyle w:val="BodyText"/>
      </w:pPr>
      <w:r>
        <w:rPr>
          <w:bCs/>
          <w:b/>
        </w:rPr>
        <w:t xml:space="preserve">6.2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all intellectual property rights to pre-existing methodologies and frameworks. All newly developed curriculum materials, assessments, and digital content created specifically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sole property of the purchasing entity upon full payment.</w:t>
      </w:r>
    </w:p>
    <w:p>
      <w:pPr>
        <w:pStyle w:val="BodyText"/>
      </w:pPr>
      <w:r>
        <w:rPr>
          <w:bCs/>
          <w:b/>
        </w:rPr>
        <w:t xml:space="preserve">6.3</w:t>
      </w:r>
      <w:r>
        <w:t xml:space="preserve"> </w:t>
      </w:r>
      <w:r>
        <w:t xml:space="preserve">Payment shall be made in accordance with the milestone schedule outlined in Section 5. Invoices shall be submitted to the accounts payable department at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office. Payment terms are Net 30 days from the date of invoice receipt. Late payments shall accrue interest at a rate of 1.5% per month.</w:t>
      </w:r>
    </w:p>
    <w:p>
      <w:pPr>
        <w:pStyle w:val="BodyText"/>
      </w:pPr>
      <w:r>
        <w:rPr>
          <w:bCs/>
          <w:b/>
        </w:rPr>
        <w:t xml:space="preserve">6.4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is required to conduct all on-site meetings, workshops, and training sessions at the purchasing entity's facility located at 2847 Brickell Avenue, United States Miami, FL 33133, unless otherwise agreed upon in writing by both parties.</w:t>
      </w:r>
    </w:p>
    <w:p>
      <w:pPr>
        <w:pStyle w:val="BodyText"/>
      </w:pPr>
      <w:r>
        <w:rPr>
          <w:bCs/>
          <w:b/>
        </w:rPr>
        <w:t xml:space="preserve">6.5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be compensated for all work completed and documented up to the date of termination, less any applicable deductions for incomplete deliverables.</w:t>
      </w:r>
    </w:p>
    <w:p>
      <w:pPr>
        <w:pStyle w:val="BodyText"/>
      </w:pPr>
      <w:r>
        <w:rPr>
          <w:bCs/>
          <w:b/>
        </w:rPr>
        <w:t xml:space="preserve">6.6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professional liability insurance with a minimum coverage of $2,000,000 per occurrence throughout the duration of this engagement. Certificates of insurance shall be provided prior to the commencement of services.</w:t>
      </w:r>
    </w:p>
    <w:p>
      <w:pPr>
        <w:pStyle w:val="BodyText"/>
      </w:pPr>
      <w:r>
        <w:rPr>
          <w:bCs/>
          <w:b/>
        </w:rPr>
        <w:t xml:space="preserve">6.7</w:t>
      </w:r>
      <w:r>
        <w:t xml:space="preserve"> </w:t>
      </w:r>
      <w:r>
        <w:t xml:space="preserve">All deliverables must adhere to the accessibility standards set forth in Section 508 of the Rehabilitation Act and the Web Content Accessibility Guidelines (WCAG) 2.1 Level AA.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ensure that all materials are culturally responsive and inclusive of the diverse student population served in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6.8</w:t>
      </w:r>
      <w:r>
        <w:t xml:space="preserve"> </w:t>
      </w: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binding arbitration in Miami-Dade County, Florida, in accordance with the rules of the American Arbitration Association.</w:t>
      </w:r>
    </w:p>
    <w:p>
      <w:pPr>
        <w:pStyle w:val="BodyText"/>
      </w:pPr>
      <w:r>
        <w:t xml:space="preserve">7. Acceptance and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Miami</w:t>
      </w:r>
      <w:r>
        <w:t xml:space="preserve">. This document is valid for a period of thirty (30) days from the date of issue.</w:t>
      </w:r>
    </w:p>
    <w:p>
      <w:pPr>
        <w:pStyle w:val="BodyText"/>
      </w:pPr>
      <w:r>
        <w:rPr>
          <w:bCs/>
          <w:b/>
        </w:rPr>
        <w:t xml:space="preserve">Authorized Representative – Purchasing Entity</w:t>
      </w:r>
      <w:r>
        <w:br/>
      </w:r>
      <w:r>
        <w:t xml:space="preserve">Dr. Margaret Ellison</w:t>
      </w:r>
      <w:r>
        <w:br/>
      </w:r>
      <w:r>
        <w:t xml:space="preserve">Director of Academic Programs</w:t>
      </w:r>
      <w:r>
        <w:br/>
      </w:r>
      <w:r>
        <w:t xml:space="preserve">South Florida Educational Innovation Institute, LLC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Authorized Representative – Vendor</w:t>
      </w:r>
      <w:r>
        <w:br/>
      </w:r>
      <w:r>
        <w:t xml:space="preserve">Mr. Daniel Torres</w:t>
      </w:r>
      <w:r>
        <w:br/>
      </w:r>
      <w:r>
        <w:t xml:space="preserve">Senior Curriculum Developer</w:t>
      </w:r>
      <w:r>
        <w:br/>
      </w:r>
      <w:r>
        <w:t xml:space="preserve">Apex Learning Design &amp; Development Group, Inc.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MIA-2025-04782) was prepared and issued in</w:t>
      </w:r>
      <w:r>
        <w:t xml:space="preserve"> </w:t>
      </w:r>
      <w:r>
        <w:t xml:space="preserve">United States Miami</w:t>
      </w:r>
      <w:r>
        <w:t xml:space="preserve">, Florida. For questions regarding this document, please contact the Procurement Office at (305) 555-0192 or procurement@sfei-institute.edu. This document is the property of South Florida Educational Innovation Institute, LLC and shall not be reproduced without written authorization.</w:t>
      </w:r>
    </w:p>
    <w:p>
      <w:pPr>
        <w:pStyle w:val="BodyText"/>
      </w:pPr>
      <w:r>
        <w:t xml:space="preserve">© 2025 South Florida Educational Innovation Institute,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Curriculum Developer Services - United States Miami</dc:title>
  <dc:creator/>
  <dc:language>en</dc:language>
  <cp:keywords/>
  <dcterms:created xsi:type="dcterms:W3CDTF">2026-10-10T02:15:31Z</dcterms:created>
  <dcterms:modified xsi:type="dcterms:W3CDTF">2026-10-10T02:15:31Z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