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Customs</w:t>
      </w:r>
      <w:r>
        <w:t xml:space="preserve"> </w:t>
      </w:r>
      <w:r>
        <w:t xml:space="preserve">Officer</w:t>
      </w:r>
      <w:r>
        <w:t xml:space="preserve"> </w:t>
      </w:r>
      <w:r>
        <w:t xml:space="preserve">-</w:t>
      </w:r>
      <w:r>
        <w:t xml:space="preserve"> </w:t>
      </w:r>
      <w:r>
        <w:t xml:space="preserve">Qatar</w:t>
      </w:r>
      <w:r>
        <w:t xml:space="preserve"> </w:t>
      </w:r>
      <w:r>
        <w:t xml:space="preserve">Doha</w:t>
      </w:r>
    </w:p>
    <w:bookmarkStart w:id="22" w:name="purchase-order"/>
    <w:p>
      <w:pPr>
        <w:pStyle w:val="Heading1"/>
      </w:pPr>
      <w:r>
        <w:t xml:space="preserve">PURCHASE ORDER</w:t>
      </w:r>
    </w:p>
    <w:bookmarkStart w:id="20" w:name="Xfa6ed68b4a6aac9256a2ba1384f4418303ae5d9"/>
    <w:p>
      <w:pPr>
        <w:pStyle w:val="Heading2"/>
      </w:pPr>
      <w:r>
        <w:t xml:space="preserve">State of Qatar — Ministry of Commerce and Industry</w:t>
      </w:r>
    </w:p>
    <w:bookmarkEnd w:id="20"/>
    <w:bookmarkStart w:id="21" w:name="general-customs-authority-doha-qatar"/>
    <w:p>
      <w:pPr>
        <w:pStyle w:val="Heading2"/>
      </w:pPr>
      <w:r>
        <w:t xml:space="preserve">General Customs Authority — Doha, Qatar</w:t>
      </w:r>
    </w:p>
    <w:p>
      <w:pPr>
        <w:pStyle w:val="FirstParagraph"/>
      </w:pPr>
      <w:r>
        <w:t xml:space="preserve">Document Reference: PO-QA-2025-04782 | Classification: Official Use</w:t>
      </w:r>
    </w:p>
    <w:bookmarkEnd w:id="21"/>
    <w:bookmarkEnd w:id="22"/>
    <w:p>
      <w:pPr>
        <w:pStyle w:val="BodyText"/>
      </w:pPr>
      <w:r>
        <w:t xml:space="preserve">Purchase Order No.: PO-QA-2025-04782</w:t>
      </w:r>
      <w:r>
        <w:br/>
      </w:r>
      <w:r>
        <w:t xml:space="preserve">Date of Issue: 14 June 2025</w:t>
      </w:r>
      <w:r>
        <w:br/>
      </w:r>
      <w:r>
        <w:t xml:space="preserve">Valid Until: 14 September 2025</w:t>
      </w:r>
    </w:p>
    <w:p>
      <w:pPr>
        <w:pStyle w:val="BodyText"/>
      </w:pPr>
      <w:r>
        <w:t xml:space="preserve">1. PARTIES INVOLVED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Field</w:t>
            </w:r>
          </w:p>
        </w:tc>
        <w:tc>
          <w:tcPr/>
          <w:p>
            <w:pPr>
              <w:pStyle w:val="Compact"/>
              <w:jc w:val="left"/>
            </w:pPr>
            <w:r>
              <w:t xml:space="preserve">Buyer (Procuring Authority)</w:t>
            </w:r>
          </w:p>
        </w:tc>
        <w:tc>
          <w:tcPr/>
          <w:p>
            <w:pPr>
              <w:pStyle w:val="Compact"/>
              <w:jc w:val="left"/>
            </w:pPr>
            <w:r>
              <w:t xml:space="preserve">Supplier / Vendor</w:t>
            </w:r>
          </w:p>
        </w:tc>
      </w:tr>
      <w:tr>
        <w:tc>
          <w:tcPr/>
          <w:p>
            <w:pPr>
              <w:pStyle w:val="Compact"/>
              <w:jc w:val="left"/>
            </w:pPr>
            <w:r>
              <w:rPr>
                <w:bCs/>
                <w:b/>
              </w:rPr>
              <w:t xml:space="preserve">Entity Name</w:t>
            </w:r>
          </w:p>
        </w:tc>
        <w:tc>
          <w:tcPr/>
          <w:p>
            <w:pPr>
              <w:pStyle w:val="Compact"/>
              <w:jc w:val="left"/>
            </w:pPr>
            <w:r>
              <w:t xml:space="preserve">General Customs Authority, State of Qatar</w:t>
            </w:r>
          </w:p>
        </w:tc>
        <w:tc>
          <w:tcPr/>
          <w:p>
            <w:pPr>
              <w:pStyle w:val="Compact"/>
              <w:jc w:val="left"/>
            </w:pPr>
            <w:r>
              <w:t xml:space="preserve">Al Rayyan Security &amp; Technology Solutions W.L.L.</w:t>
            </w:r>
          </w:p>
        </w:tc>
      </w:tr>
      <w:tr>
        <w:tc>
          <w:tcPr/>
          <w:p>
            <w:pPr>
              <w:pStyle w:val="Compact"/>
              <w:jc w:val="left"/>
            </w:pPr>
            <w:r>
              <w:rPr>
                <w:bCs/>
                <w:b/>
              </w:rPr>
              <w:t xml:space="preserve">Address</w:t>
            </w:r>
          </w:p>
        </w:tc>
        <w:tc>
          <w:tcPr/>
          <w:p>
            <w:pPr>
              <w:pStyle w:val="Compact"/>
              <w:jc w:val="left"/>
            </w:pPr>
            <w:r>
              <w:t xml:space="preserve">Customs House, Al Sadd District, Doha, Qatar</w:t>
            </w:r>
          </w:p>
        </w:tc>
        <w:tc>
          <w:tcPr/>
          <w:p>
            <w:pPr>
              <w:pStyle w:val="Compact"/>
              <w:jc w:val="left"/>
            </w:pPr>
            <w:r>
              <w:t xml:space="preserve">Office 214, Business Bay Tower, Al Rayyan, Doha, Qatar</w:t>
            </w:r>
          </w:p>
        </w:tc>
      </w:tr>
      <w:tr>
        <w:tc>
          <w:tcPr/>
          <w:p>
            <w:pPr>
              <w:pStyle w:val="Compact"/>
              <w:jc w:val="left"/>
            </w:pPr>
            <w:r>
              <w:rPr>
                <w:bCs/>
                <w:b/>
              </w:rPr>
              <w:t xml:space="preserve">Contact Person</w:t>
            </w:r>
          </w:p>
        </w:tc>
        <w:tc>
          <w:tcPr/>
          <w:p>
            <w:pPr>
              <w:pStyle w:val="Compact"/>
              <w:jc w:val="left"/>
            </w:pPr>
            <w:r>
              <w:t xml:space="preserve">Mr. Khalid Al-Mansoori, Procurement Director</w:t>
            </w:r>
          </w:p>
        </w:tc>
        <w:tc>
          <w:tcPr/>
          <w:p>
            <w:pPr>
              <w:pStyle w:val="Compact"/>
              <w:jc w:val="left"/>
            </w:pPr>
            <w:r>
              <w:t xml:space="preserve">Ms. Fatima Al-Thani, Account Manager</w:t>
            </w:r>
          </w:p>
        </w:tc>
      </w:tr>
      <w:tr>
        <w:tc>
          <w:tcPr/>
          <w:p>
            <w:pPr>
              <w:pStyle w:val="Compact"/>
              <w:jc w:val="left"/>
            </w:pPr>
            <w:r>
              <w:rPr>
                <w:bCs/>
                <w:b/>
              </w:rPr>
              <w:t xml:space="preserve">Phone / Email</w:t>
            </w:r>
          </w:p>
        </w:tc>
        <w:tc>
          <w:tcPr/>
          <w:p>
            <w:pPr>
              <w:pStyle w:val="Compact"/>
              <w:jc w:val="left"/>
            </w:pPr>
            <w:r>
              <w:t xml:space="preserve">+974-4455-6677 / procurement@gca.gov.qa</w:t>
            </w:r>
          </w:p>
        </w:tc>
        <w:tc>
          <w:tcPr/>
          <w:p>
            <w:pPr>
              <w:pStyle w:val="Compact"/>
              <w:jc w:val="left"/>
            </w:pPr>
            <w:r>
              <w:t xml:space="preserve">+974-4488-9900 / sales@alrayyansec.com</w:t>
            </w:r>
          </w:p>
        </w:tc>
      </w:tr>
      <w:tr>
        <w:tc>
          <w:tcPr/>
          <w:p>
            <w:pPr>
              <w:pStyle w:val="Compact"/>
              <w:jc w:val="left"/>
            </w:pPr>
            <w:r>
              <w:rPr>
                <w:bCs/>
                <w:b/>
              </w:rPr>
              <w:t xml:space="preserve">Commercial Registration</w:t>
            </w:r>
          </w:p>
        </w:tc>
        <w:tc>
          <w:tcPr/>
          <w:p>
            <w:pPr>
              <w:pStyle w:val="Compact"/>
              <w:jc w:val="left"/>
            </w:pPr>
            <w:r>
              <w:t xml:space="preserve">Government Entity — N/A</w:t>
            </w:r>
          </w:p>
        </w:tc>
        <w:tc>
          <w:tcPr/>
          <w:p>
            <w:pPr>
              <w:pStyle w:val="Compact"/>
              <w:jc w:val="left"/>
            </w:pPr>
            <w:r>
              <w:t xml:space="preserve">CR No. 1234567 — Qatar</w:t>
            </w:r>
          </w:p>
        </w:tc>
      </w:tr>
    </w:tbl>
    <w:p>
      <w:pPr>
        <w:pStyle w:val="BodyText"/>
      </w:pPr>
      <w:r>
        <w:t xml:space="preserve">2. PURPOSE AND SCOPE OF THIS PURCHASE ORDER</w:t>
      </w:r>
    </w:p>
    <w:p>
      <w:pPr>
        <w:pStyle w:val="BodyText"/>
      </w:pPr>
      <w:r>
        <w:t xml:space="preserve">This Purchase Order is issued by the General Customs Authority of the State of Qatar to procure specialized equipment, software licenses, and professional services required for the operational deployment of a</w:t>
      </w:r>
      <w:r>
        <w:t xml:space="preserve"> </w:t>
      </w:r>
      <w:r>
        <w:rPr>
          <w:bCs/>
          <w:b/>
        </w:rPr>
        <w:t xml:space="preserve">Customs Officer</w:t>
      </w:r>
      <w:r>
        <w:t xml:space="preserve"> </w:t>
      </w:r>
      <w:r>
        <w:t xml:space="preserve">at the Hamad International Airport (HIA) cargo inspection terminal in</w:t>
      </w:r>
      <w:r>
        <w:t xml:space="preserve"> </w:t>
      </w:r>
      <w:r>
        <w:rPr>
          <w:bCs/>
          <w:b/>
        </w:rPr>
        <w:t xml:space="preserve">Qatar Doha</w:t>
      </w:r>
      <w:r>
        <w:t xml:space="preserve">. The items and services listed herein are essential to ensure that the assigned Customs Officer can perform duties of import inspection, tariff classification, anti-smuggling surveillance, and regulatory compliance in full accordance with the Qatar Customs Law (Law No. 11 of 2012) and the World Customs Organization (WCO) standards.</w:t>
      </w:r>
    </w:p>
    <w:p>
      <w:pPr>
        <w:pStyle w:val="BodyText"/>
      </w:pPr>
      <w:r>
        <w:t xml:space="preserve">This Purchase Order constitutes a binding commitment by the General Customs Authority to purchase the goods and services described below from the named supplier. All terms, conditions, delivery schedules, and payment milestones are governed by the Qatar Government Procurement Law (Law No. 18 of 2014) and the specific contract annexed to this Purchase Order. The Customs Officer to whom these resources are allocated will be stationed at the Doha International Trade Zone and will report directly to the Director of Border Control Operations.</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Price (QAR)</w:t>
            </w:r>
          </w:p>
        </w:tc>
        <w:tc>
          <w:tcPr/>
          <w:p>
            <w:pPr>
              <w:pStyle w:val="Compact"/>
              <w:jc w:val="left"/>
            </w:pPr>
            <w:r>
              <w:t xml:space="preserve">Total (QAR)</w:t>
            </w:r>
          </w:p>
        </w:tc>
        <w:tc>
          <w:tcPr/>
          <w:p>
            <w:pPr>
              <w:pStyle w:val="Compact"/>
              <w:jc w:val="left"/>
            </w:pPr>
            <w:r>
              <w:t xml:space="preserve">Delivery / Completion</w:t>
            </w:r>
          </w:p>
        </w:tc>
      </w:tr>
      <w:tr>
        <w:tc>
          <w:tcPr/>
          <w:p>
            <w:pPr>
              <w:pStyle w:val="Compact"/>
              <w:jc w:val="left"/>
            </w:pPr>
            <w:r>
              <w:t xml:space="preserve">1</w:t>
            </w:r>
          </w:p>
        </w:tc>
        <w:tc>
          <w:tcPr/>
          <w:p>
            <w:pPr>
              <w:pStyle w:val="Compact"/>
              <w:jc w:val="left"/>
            </w:pPr>
            <w:r>
              <w:t xml:space="preserve">Handheld X-Ray Inspection Scanner (Model: RayX-400) for Customs Officer field use at cargo gates</w:t>
            </w:r>
          </w:p>
        </w:tc>
        <w:tc>
          <w:tcPr/>
          <w:p>
            <w:pPr>
              <w:pStyle w:val="Compact"/>
              <w:jc w:val="left"/>
            </w:pPr>
            <w:r>
              <w:t xml:space="preserve">2</w:t>
            </w:r>
          </w:p>
        </w:tc>
        <w:tc>
          <w:tcPr/>
          <w:p>
            <w:pPr>
              <w:pStyle w:val="Compact"/>
              <w:jc w:val="left"/>
            </w:pPr>
            <w:r>
              <w:t xml:space="preserve">48,500.00</w:t>
            </w:r>
          </w:p>
        </w:tc>
        <w:tc>
          <w:tcPr/>
          <w:p>
            <w:pPr>
              <w:pStyle w:val="Compact"/>
              <w:jc w:val="left"/>
            </w:pPr>
            <w:r>
              <w:t xml:space="preserve">97,000.00</w:t>
            </w:r>
          </w:p>
        </w:tc>
        <w:tc>
          <w:tcPr/>
          <w:p>
            <w:pPr>
              <w:pStyle w:val="Compact"/>
              <w:jc w:val="left"/>
            </w:pPr>
            <w:r>
              <w:t xml:space="preserve">30 July 2025</w:t>
            </w:r>
          </w:p>
        </w:tc>
      </w:tr>
      <w:tr>
        <w:tc>
          <w:tcPr/>
          <w:p>
            <w:pPr>
              <w:pStyle w:val="Compact"/>
              <w:jc w:val="left"/>
            </w:pPr>
            <w:r>
              <w:t xml:space="preserve">2</w:t>
            </w:r>
          </w:p>
        </w:tc>
        <w:tc>
          <w:tcPr/>
          <w:p>
            <w:pPr>
              <w:pStyle w:val="Compact"/>
              <w:jc w:val="left"/>
            </w:pPr>
            <w:r>
              <w:t xml:space="preserve">Customs Declaration Management Software License (5-year subscription, Arabic/English bilingual interface)</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c>
          <w:tcPr/>
          <w:p>
            <w:pPr>
              <w:pStyle w:val="Compact"/>
              <w:jc w:val="left"/>
            </w:pPr>
            <w:r>
              <w:t xml:space="preserve">15 July 2025</w:t>
            </w:r>
          </w:p>
        </w:tc>
      </w:tr>
      <w:tr>
        <w:tc>
          <w:tcPr/>
          <w:p>
            <w:pPr>
              <w:pStyle w:val="Compact"/>
              <w:jc w:val="left"/>
            </w:pPr>
            <w:r>
              <w:t xml:space="preserve">3</w:t>
            </w:r>
          </w:p>
        </w:tc>
        <w:tc>
          <w:tcPr/>
          <w:p>
            <w:pPr>
              <w:pStyle w:val="Compact"/>
              <w:jc w:val="left"/>
            </w:pPr>
            <w:r>
              <w:t xml:space="preserve">Body-Worn Camera System with encrypted data storage (for Customs Officer on-site documentation)</w:t>
            </w:r>
          </w:p>
        </w:tc>
        <w:tc>
          <w:tcPr/>
          <w:p>
            <w:pPr>
              <w:pStyle w:val="Compact"/>
              <w:jc w:val="left"/>
            </w:pPr>
            <w:r>
              <w:t xml:space="preserve">4</w:t>
            </w:r>
          </w:p>
        </w:tc>
        <w:tc>
          <w:tcPr/>
          <w:p>
            <w:pPr>
              <w:pStyle w:val="Compact"/>
              <w:jc w:val="left"/>
            </w:pPr>
            <w:r>
              <w:t xml:space="preserve">6,200.00</w:t>
            </w:r>
          </w:p>
        </w:tc>
        <w:tc>
          <w:tcPr/>
          <w:p>
            <w:pPr>
              <w:pStyle w:val="Compact"/>
              <w:jc w:val="left"/>
            </w:pPr>
            <w:r>
              <w:t xml:space="preserve">24,800.00</w:t>
            </w:r>
          </w:p>
        </w:tc>
        <w:tc>
          <w:tcPr/>
          <w:p>
            <w:pPr>
              <w:pStyle w:val="Compact"/>
              <w:jc w:val="left"/>
            </w:pPr>
            <w:r>
              <w:t xml:space="preserve">30 July 2025</w:t>
            </w:r>
          </w:p>
        </w:tc>
      </w:tr>
      <w:tr>
        <w:tc>
          <w:tcPr/>
          <w:p>
            <w:pPr>
              <w:pStyle w:val="Compact"/>
              <w:jc w:val="left"/>
            </w:pPr>
            <w:r>
              <w:t xml:space="preserve">4</w:t>
            </w:r>
          </w:p>
        </w:tc>
        <w:tc>
          <w:tcPr/>
          <w:p>
            <w:pPr>
              <w:pStyle w:val="Compact"/>
              <w:jc w:val="left"/>
            </w:pPr>
            <w:r>
              <w:t xml:space="preserve">Professional Training Program: WCO Advanced Tariff Classification &amp; Anti-Fraud Techniques (5-day intensive course, Doha venue)</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c>
          <w:tcPr/>
          <w:p>
            <w:pPr>
              <w:pStyle w:val="Compact"/>
              <w:jc w:val="left"/>
            </w:pPr>
            <w:r>
              <w:t xml:space="preserve">20 August 2025</w:t>
            </w:r>
          </w:p>
        </w:tc>
      </w:tr>
      <w:tr>
        <w:tc>
          <w:tcPr/>
          <w:p>
            <w:pPr>
              <w:pStyle w:val="Compact"/>
              <w:jc w:val="left"/>
            </w:pPr>
            <w:r>
              <w:t xml:space="preserve">5</w:t>
            </w:r>
          </w:p>
        </w:tc>
        <w:tc>
          <w:tcPr/>
          <w:p>
            <w:pPr>
              <w:pStyle w:val="Compact"/>
              <w:jc w:val="left"/>
            </w:pPr>
            <w:r>
              <w:t xml:space="preserve">Customs Officer Official Uniform Set (3 complete sets including hi-visibility vest, duty cap, and identification badge holder)</w:t>
            </w:r>
          </w:p>
        </w:tc>
        <w:tc>
          <w:tcPr/>
          <w:p>
            <w:pPr>
              <w:pStyle w:val="Compact"/>
              <w:jc w:val="left"/>
            </w:pPr>
            <w:r>
              <w:t xml:space="preserve">3</w:t>
            </w:r>
          </w:p>
        </w:tc>
        <w:tc>
          <w:tcPr/>
          <w:p>
            <w:pPr>
              <w:pStyle w:val="Compact"/>
              <w:jc w:val="left"/>
            </w:pPr>
            <w:r>
              <w:t xml:space="preserve">1,850.00</w:t>
            </w:r>
          </w:p>
        </w:tc>
        <w:tc>
          <w:tcPr/>
          <w:p>
            <w:pPr>
              <w:pStyle w:val="Compact"/>
              <w:jc w:val="left"/>
            </w:pPr>
            <w:r>
              <w:t xml:space="preserve">5,550.00</w:t>
            </w:r>
          </w:p>
        </w:tc>
        <w:tc>
          <w:tcPr/>
          <w:p>
            <w:pPr>
              <w:pStyle w:val="Compact"/>
              <w:jc w:val="left"/>
            </w:pPr>
            <w:r>
              <w:t xml:space="preserve">10 July 2025</w:t>
            </w:r>
          </w:p>
        </w:tc>
      </w:tr>
      <w:tr>
        <w:tc>
          <w:tcPr/>
          <w:p>
            <w:pPr>
              <w:pStyle w:val="Compact"/>
              <w:jc w:val="left"/>
            </w:pPr>
            <w:r>
              <w:t xml:space="preserve">6</w:t>
            </w:r>
          </w:p>
        </w:tc>
        <w:tc>
          <w:tcPr/>
          <w:p>
            <w:pPr>
              <w:pStyle w:val="Compact"/>
              <w:jc w:val="left"/>
            </w:pPr>
            <w:r>
              <w:t xml:space="preserve">Mobile Customs Inspection Terminal (ruggedized tablet with GPS, barcode reader, and offline database of Qatar tariff schedules)</w:t>
            </w:r>
          </w:p>
        </w:tc>
        <w:tc>
          <w:tcPr/>
          <w:p>
            <w:pPr>
              <w:pStyle w:val="Compact"/>
              <w:jc w:val="left"/>
            </w:pPr>
            <w:r>
              <w:t xml:space="preserve">2</w:t>
            </w:r>
          </w:p>
        </w:tc>
        <w:tc>
          <w:tcPr/>
          <w:p>
            <w:pPr>
              <w:pStyle w:val="Compact"/>
              <w:jc w:val="left"/>
            </w:pPr>
            <w:r>
              <w:t xml:space="preserve">12,400.00</w:t>
            </w:r>
          </w:p>
        </w:tc>
        <w:tc>
          <w:tcPr/>
          <w:p>
            <w:pPr>
              <w:pStyle w:val="Compact"/>
              <w:jc w:val="left"/>
            </w:pPr>
            <w:r>
              <w:t xml:space="preserve">24,800.00</w:t>
            </w:r>
          </w:p>
        </w:tc>
        <w:tc>
          <w:tcPr/>
          <w:p>
            <w:pPr>
              <w:pStyle w:val="Compact"/>
              <w:jc w:val="left"/>
            </w:pPr>
            <w:r>
              <w:t xml:space="preserve">30 July 2025</w:t>
            </w:r>
          </w:p>
        </w:tc>
      </w:tr>
      <w:tr>
        <w:tc>
          <w:tcPr/>
          <w:p>
            <w:pPr>
              <w:pStyle w:val="Compact"/>
              <w:jc w:val="left"/>
            </w:pPr>
            <w:r>
              <w:t xml:space="preserve">7</w:t>
            </w:r>
          </w:p>
        </w:tc>
        <w:tc>
          <w:tcPr/>
          <w:p>
            <w:pPr>
              <w:pStyle w:val="Compact"/>
              <w:jc w:val="left"/>
            </w:pPr>
            <w:r>
              <w:t xml:space="preserve">Annual Maintenance &amp; Technical Support Contract for all electronic equipment listed above</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c>
          <w:tcPr/>
          <w:p>
            <w:pPr>
              <w:pStyle w:val="Compact"/>
              <w:jc w:val="left"/>
            </w:pPr>
            <w:r>
              <w:t xml:space="preserve">Commencing 1 Aug 2025</w:t>
            </w:r>
          </w:p>
        </w:tc>
      </w:tr>
      <w:tr>
        <w:tc>
          <w:tcPr/>
          <w:p>
            <w:pPr>
              <w:pStyle w:val="Compact"/>
              <w:jc w:val="left"/>
            </w:pPr>
            <w:r>
              <w:t xml:space="preserve">8</w:t>
            </w:r>
          </w:p>
        </w:tc>
        <w:tc>
          <w:tcPr/>
          <w:p>
            <w:pPr>
              <w:pStyle w:val="Compact"/>
              <w:jc w:val="left"/>
            </w:pPr>
            <w:r>
              <w:t xml:space="preserve">Secure Document Storage Cabinet (fireproof, lockable, for Customs Officer case files and seizure records)</w:t>
            </w:r>
          </w:p>
        </w:tc>
        <w:tc>
          <w:tcPr/>
          <w:p>
            <w:pPr>
              <w:pStyle w:val="Compact"/>
              <w:jc w:val="left"/>
            </w:pPr>
            <w:r>
              <w:t xml:space="preserve">1</w:t>
            </w:r>
          </w:p>
        </w:tc>
        <w:tc>
          <w:tcPr/>
          <w:p>
            <w:pPr>
              <w:pStyle w:val="Compact"/>
              <w:jc w:val="left"/>
            </w:pPr>
            <w:r>
              <w:t xml:space="preserve">7,300.00</w:t>
            </w:r>
          </w:p>
        </w:tc>
        <w:tc>
          <w:tcPr/>
          <w:p>
            <w:pPr>
              <w:pStyle w:val="Compact"/>
              <w:jc w:val="left"/>
            </w:pPr>
            <w:r>
              <w:t xml:space="preserve">7,300.00</w:t>
            </w:r>
          </w:p>
        </w:tc>
        <w:tc>
          <w:tcPr/>
          <w:p>
            <w:pPr>
              <w:pStyle w:val="Compact"/>
              <w:jc w:val="left"/>
            </w:pPr>
            <w:r>
              <w:t xml:space="preserve">15 July 2025</w:t>
            </w:r>
          </w:p>
        </w:tc>
      </w:tr>
      <w:tr>
        <w:tc>
          <w:tcPr>
            <w:gridSpan w:val="4"/>
          </w:tcPr>
          <w:p>
            <w:pPr>
              <w:pStyle w:val="Compact"/>
              <w:jc w:val="right"/>
            </w:pPr>
            <w:r>
              <w:t xml:space="preserve">SUBTOTAL</w:t>
            </w:r>
          </w:p>
        </w:tc>
        <w:tc>
          <w:tcPr/>
          <w:p>
            <w:pPr>
              <w:pStyle w:val="Compact"/>
              <w:jc w:val="left"/>
            </w:pPr>
            <w:r>
              <w:t xml:space="preserve">344,450.00</w:t>
            </w:r>
          </w:p>
        </w:tc>
        <w:tc>
          <w:tcPr/>
          <w:p>
            <w:pPr>
              <w:pStyle w:val="Compact"/>
            </w:pPr>
          </w:p>
        </w:tc>
      </w:tr>
      <w:tr>
        <w:tc>
          <w:tcPr>
            <w:gridSpan w:val="4"/>
          </w:tcPr>
          <w:p>
            <w:pPr>
              <w:pStyle w:val="Compact"/>
              <w:jc w:val="right"/>
            </w:pPr>
            <w:r>
              <w:t xml:space="preserve">VAT (5% — Qatar Standard Rate)</w:t>
            </w:r>
          </w:p>
        </w:tc>
        <w:tc>
          <w:tcPr/>
          <w:p>
            <w:pPr>
              <w:pStyle w:val="Compact"/>
              <w:jc w:val="left"/>
            </w:pPr>
            <w:r>
              <w:t xml:space="preserve">17,222.50</w:t>
            </w:r>
          </w:p>
        </w:tc>
        <w:tc>
          <w:tcPr/>
          <w:p>
            <w:pPr>
              <w:pStyle w:val="Compact"/>
            </w:pPr>
          </w:p>
        </w:tc>
      </w:tr>
      <w:tr>
        <w:tc>
          <w:tcPr>
            <w:gridSpan w:val="4"/>
          </w:tcPr>
          <w:p>
            <w:pPr>
              <w:pStyle w:val="Compact"/>
              <w:jc w:val="right"/>
            </w:pPr>
            <w:r>
              <w:t xml:space="preserve">GRAND TOTAL (QAR)</w:t>
            </w:r>
          </w:p>
        </w:tc>
        <w:tc>
          <w:tcPr/>
          <w:p>
            <w:pPr>
              <w:pStyle w:val="Compact"/>
              <w:jc w:val="left"/>
            </w:pPr>
            <w:r>
              <w:t xml:space="preserve">361,672.50</w:t>
            </w:r>
          </w:p>
        </w:tc>
        <w:tc>
          <w:tcPr/>
          <w:p>
            <w:pPr>
              <w:pStyle w:val="Compact"/>
            </w:pPr>
          </w:p>
        </w:tc>
      </w:tr>
    </w:tbl>
    <w:p>
      <w:pPr>
        <w:pStyle w:val="BodyText"/>
      </w:pPr>
      <w:r>
        <w:t xml:space="preserve">4. TERMS AND CONDITIONS</w:t>
      </w:r>
    </w:p>
    <w:p>
      <w:pPr>
        <w:pStyle w:val="BodyText"/>
      </w:pPr>
      <w:r>
        <w:rPr>
          <w:bCs/>
          <w:b/>
        </w:rPr>
        <w:t xml:space="preserve">4.1 Delivery Location:</w:t>
      </w:r>
      <w:r>
        <w:t xml:space="preserve"> </w:t>
      </w:r>
      <w:r>
        <w:t xml:space="preserve">All physical goods shall be delivered to the General Customs Authority warehouse, Al Sadd District,</w:t>
      </w:r>
      <w:r>
        <w:t xml:space="preserve"> </w:t>
      </w:r>
      <w:r>
        <w:rPr>
          <w:bCs/>
          <w:b/>
        </w:rPr>
        <w:t xml:space="preserve">Qatar Doha</w:t>
      </w:r>
      <w:r>
        <w:t xml:space="preserve">, P.O. Box 12345, Doha, Qatar. The supplier bears all transportation, insurance, and customs clearance costs up to the point of delivery.</w:t>
      </w:r>
    </w:p>
    <w:p>
      <w:pPr>
        <w:pStyle w:val="BodyText"/>
      </w:pPr>
      <w:r>
        <w:rPr>
          <w:bCs/>
          <w:b/>
        </w:rPr>
        <w:t xml:space="preserve">4.2 Payment Terms:</w:t>
      </w:r>
      <w:r>
        <w:t xml:space="preserve"> </w:t>
      </w:r>
      <w:r>
        <w:t xml:space="preserve">Payment shall be made in three installments: 30% upon signing of this Purchase Order, 50% upon confirmed delivery and acceptance of all goods, and 20% upon successful completion of the training program and one (1) month of operational use by the Customs Officer. Payments shall be processed via bank transfer to the supplier's designated account in Qatar.</w:t>
      </w:r>
    </w:p>
    <w:p>
      <w:pPr>
        <w:pStyle w:val="BodyText"/>
      </w:pPr>
      <w:r>
        <w:rPr>
          <w:bCs/>
          <w:b/>
        </w:rPr>
        <w:t xml:space="preserve">4.3 Acceptance and Inspection:</w:t>
      </w:r>
      <w:r>
        <w:t xml:space="preserve"> </w:t>
      </w:r>
      <w:r>
        <w:t xml:space="preserve">The designated Customs Officer and a representative of the Procurement Directorate shall jointly inspect all delivered items within five (5) business days of delivery. Any defects, non-conformities, or missing components must be reported in writing to the supplier within the same period.</w:t>
      </w:r>
    </w:p>
    <w:p>
      <w:pPr>
        <w:pStyle w:val="BodyText"/>
      </w:pPr>
      <w:r>
        <w:rPr>
          <w:bCs/>
          <w:b/>
        </w:rPr>
        <w:t xml:space="preserve">4.4 Warranty:</w:t>
      </w:r>
      <w:r>
        <w:t xml:space="preserve"> </w:t>
      </w:r>
      <w:r>
        <w:t xml:space="preserve">All electronic equipment carries a minimum two-year manufacturer warranty. The supplier shall provide on-site repair or replacement within forty-eight (48) hours of a defect report.</w:t>
      </w:r>
    </w:p>
    <w:p>
      <w:pPr>
        <w:pStyle w:val="BodyText"/>
      </w:pPr>
      <w:r>
        <w:rPr>
          <w:bCs/>
          <w:b/>
        </w:rPr>
        <w:t xml:space="preserve">4.5 Compliance:</w:t>
      </w:r>
      <w:r>
        <w:t xml:space="preserve"> </w:t>
      </w:r>
      <w:r>
        <w:t xml:space="preserve">The supplier warrants that all goods and services comply with Qatar Standards Metrology Organization (QSO) regulations, Qatar Civil Aviation Authority requirements (for airport deployment), and all applicable data protection laws of the State of Qatar.</w:t>
      </w:r>
    </w:p>
    <w:p>
      <w:pPr>
        <w:pStyle w:val="BodyText"/>
      </w:pPr>
      <w:r>
        <w:rPr>
          <w:bCs/>
          <w:b/>
        </w:rPr>
        <w:t xml:space="preserve">4.6 Confidentiality:</w:t>
      </w:r>
      <w:r>
        <w:t xml:space="preserve"> </w:t>
      </w:r>
      <w:r>
        <w:t xml:space="preserve">All information pertaining to this Purchase Order, the operational deployment of the Customs Officer, and any customs inspection data processed through the procured systems shall be treated as strictly confidential and shall not be disclosed to any third party without written authorization from the General Customs Authority.</w:t>
      </w:r>
    </w:p>
    <w:p>
      <w:pPr>
        <w:pStyle w:val="BodyText"/>
      </w:pPr>
      <w:r>
        <w:rPr>
          <w:bCs/>
          <w:b/>
        </w:rPr>
        <w:t xml:space="preserve">4.7 Dispute Resolution:</w:t>
      </w:r>
      <w:r>
        <w:t xml:space="preserve"> </w:t>
      </w:r>
      <w:r>
        <w:t xml:space="preserve">Any disputes arising from this Purchase Order shall be resolved through the Qatar International and Regional Arbitration Centre (QIARC) in Doha, in accordance with its rules of procedure.</w:t>
      </w:r>
    </w:p>
    <w:p>
      <w:pPr>
        <w:pStyle w:val="BodyText"/>
      </w:pPr>
      <w:r>
        <w:t xml:space="preserve">5. AUTHORIZATION AND SIGNATURES</w:t>
      </w:r>
    </w:p>
    <w:p>
      <w:pPr>
        <w:pStyle w:val="BodyText"/>
      </w:pPr>
      <w:r>
        <w:rPr>
          <w:bCs/>
          <w:b/>
        </w:rPr>
        <w:t xml:space="preserve">Note:</w:t>
      </w:r>
      <w:r>
        <w:t xml:space="preserve"> </w:t>
      </w:r>
      <w:r>
        <w:t xml:space="preserve">This Purchase Order becomes effective upon signature by both authorized representatives. The Customs Officer assigned to receive and utilize the procured items shall sign the delivery acknowledgment form upon receipt at the Doha facility.</w:t>
      </w:r>
    </w:p>
    <w:p>
      <w:pPr>
        <w:pStyle w:val="BodyText"/>
      </w:pPr>
      <w:r>
        <w:rPr>
          <w:bCs/>
          <w:b/>
        </w:rPr>
        <w:t xml:space="preserve">For the Buyer (General Customs Authority):</w:t>
      </w:r>
    </w:p>
    <w:p>
      <w:pPr>
        <w:pStyle w:val="BodyText"/>
      </w:pPr>
      <w:r>
        <w:t xml:space="preserve">Name: Mr. Khalid Al-Mansoori</w:t>
      </w:r>
      <w:r>
        <w:br/>
      </w:r>
      <w:r>
        <w:t xml:space="preserve">Title: Procurement Director</w:t>
      </w:r>
      <w:r>
        <w:br/>
      </w:r>
      <w:r>
        <w:t xml:space="preserve">Signature: _________________________</w:t>
      </w:r>
      <w:r>
        <w:br/>
      </w:r>
      <w:r>
        <w:t xml:space="preserve">Date: 14 June 2025</w:t>
      </w:r>
    </w:p>
    <w:p>
      <w:pPr>
        <w:pStyle w:val="BodyText"/>
      </w:pPr>
      <w:r>
        <w:rPr>
          <w:bCs/>
          <w:b/>
        </w:rPr>
        <w:t xml:space="preserve">For the Supplier (Al Rayyan Security &amp; Technology Solutions W.L.L.):</w:t>
      </w:r>
    </w:p>
    <w:p>
      <w:pPr>
        <w:pStyle w:val="BodyText"/>
      </w:pPr>
      <w:r>
        <w:t xml:space="preserve">Name: Ms. Fatima Al-Thani</w:t>
      </w:r>
      <w:r>
        <w:br/>
      </w:r>
      <w:r>
        <w:t xml:space="preserve">Title: Account Manager / Authorized Signatory</w:t>
      </w:r>
      <w:r>
        <w:br/>
      </w:r>
      <w:r>
        <w:t xml:space="preserve">Signature: _________________________</w:t>
      </w:r>
      <w:r>
        <w:br/>
      </w:r>
      <w:r>
        <w:t xml:space="preserve">Date: 14 June 2025</w:t>
      </w:r>
    </w:p>
    <w:p>
      <w:pPr>
        <w:pStyle w:val="BodyText"/>
      </w:pPr>
      <w:r>
        <w:t xml:space="preserve">This Purchase Order (PO-QA-2025-04782) is an official document of the General Customs Authority, State of Qatar, issued for the operational support of a Customs Officer at the Hamad International Airport facility in Qatar Doha. Unauthorized reproduction or distribution is prohibited under Qatar law. For inquiries, contact the Procurement Directorate at procurement@gca.gov.qa or +974-4455-6677.</w:t>
      </w:r>
    </w:p>
    <w:p>
      <w:pPr>
        <w:pStyle w:val="BodyText"/>
      </w:pPr>
      <w:r>
        <w:t xml:space="preserve">Page 1 of 1 — Generated: 14 June 2025 — Document ID: GCA-PO-2025-04782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Customs Officer - Qatar Doha</dc:title>
  <dc:creator/>
  <dc:language>en</dc:language>
  <cp:keywords/>
  <dcterms:created xsi:type="dcterms:W3CDTF">2026-10-10T08:32:20Z</dcterms:created>
  <dcterms:modified xsi:type="dcterms:W3CDTF">2026-10-10T08:32:20Z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