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Data</w:t>
      </w:r>
      <w:r>
        <w:t xml:space="preserve"> </w:t>
      </w:r>
      <w:r>
        <w:t xml:space="preserve">Scientist</w:t>
      </w:r>
      <w:r>
        <w:t xml:space="preserve"> </w:t>
      </w:r>
      <w:r>
        <w:t xml:space="preserve">-</w:t>
      </w:r>
      <w:r>
        <w:t xml:space="preserve"> </w:t>
      </w:r>
      <w:r>
        <w:t xml:space="preserve">Egypt</w:t>
      </w:r>
      <w:r>
        <w:t xml:space="preserve"> </w:t>
      </w:r>
      <w:r>
        <w:t xml:space="preserve">Cairo</w:t>
      </w:r>
    </w:p>
    <w:bookmarkStart w:id="20" w:name="purchase-order"/>
    <w:p>
      <w:pPr>
        <w:pStyle w:val="Heading1"/>
      </w:pPr>
      <w:r>
        <w:t xml:space="preserve">PURCHASE ORDER</w:t>
      </w:r>
    </w:p>
    <w:p>
      <w:pPr>
        <w:pStyle w:val="FirstParagraph"/>
      </w:pPr>
      <w:r>
        <w:t xml:space="preserve">Nile Analytics Solutions S.A.E. — Corporate Procurement Division</w:t>
      </w:r>
    </w:p>
    <w:p>
      <w:pPr>
        <w:pStyle w:val="BodyText"/>
      </w:pPr>
      <w:r>
        <w:t xml:space="preserve">12th of Ramadan Street, New Cairo, Cairo, Egypt 11835</w:t>
      </w:r>
    </w:p>
    <w:p>
      <w:pPr>
        <w:pStyle w:val="BodyText"/>
      </w:pPr>
      <w:r>
        <w:t xml:space="preserve">Tel: +20 2 2534 8890 | Email: procurement@nileanalytics.com.eg</w:t>
      </w:r>
    </w:p>
    <w:bookmarkEnd w:id="20"/>
    <w:p>
      <w:pPr>
        <w:pStyle w:val="BodyText"/>
      </w:pPr>
      <w:r>
        <w:t xml:space="preserve">Purchase Order No. PO-EGY-2025-04782</w:t>
      </w:r>
    </w:p>
    <w:bookmarkStart w:id="21" w:name="purchase-order-details"/>
    <w:p>
      <w:pPr>
        <w:pStyle w:val="Heading2"/>
      </w:pPr>
      <w:r>
        <w:t xml:space="preserve">1. Purchase Order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Purchase Order Date</w:t>
            </w:r>
          </w:p>
        </w:tc>
        <w:tc>
          <w:tcPr/>
          <w:p>
            <w:pPr>
              <w:pStyle w:val="Compact"/>
              <w:jc w:val="left"/>
            </w:pPr>
            <w:r>
              <w:t xml:space="preserve">15 June 2025</w:t>
            </w:r>
          </w:p>
        </w:tc>
      </w:tr>
      <w:tr>
        <w:tc>
          <w:tcPr/>
          <w:p>
            <w:pPr>
              <w:pStyle w:val="Compact"/>
              <w:jc w:val="left"/>
            </w:pPr>
            <w:r>
              <w:t xml:space="preserve">Required Delivery / Start Date</w:t>
            </w:r>
          </w:p>
        </w:tc>
        <w:tc>
          <w:tcPr/>
          <w:p>
            <w:pPr>
              <w:pStyle w:val="Compact"/>
              <w:jc w:val="left"/>
            </w:pPr>
            <w:r>
              <w:t xml:space="preserve">01 July 2025</w:t>
            </w:r>
          </w:p>
        </w:tc>
      </w:tr>
      <w:tr>
        <w:tc>
          <w:tcPr/>
          <w:p>
            <w:pPr>
              <w:pStyle w:val="Compact"/>
              <w:jc w:val="left"/>
            </w:pPr>
            <w:r>
              <w:t xml:space="preserve">Contract Duration</w:t>
            </w:r>
          </w:p>
        </w:tc>
        <w:tc>
          <w:tcPr/>
          <w:p>
            <w:pPr>
              <w:pStyle w:val="Compact"/>
              <w:jc w:val="left"/>
            </w:pPr>
            <w:r>
              <w:t xml:space="preserve">12 months (renewable)</w:t>
            </w:r>
          </w:p>
        </w:tc>
      </w:tr>
      <w:tr>
        <w:tc>
          <w:tcPr/>
          <w:p>
            <w:pPr>
              <w:pStyle w:val="Compact"/>
              <w:jc w:val="left"/>
            </w:pPr>
            <w:r>
              <w:t xml:space="preserve">Place of Performance</w:t>
            </w:r>
          </w:p>
        </w:tc>
        <w:tc>
          <w:tcPr/>
          <w:p>
            <w:pPr>
              <w:pStyle w:val="Compact"/>
              <w:jc w:val="left"/>
            </w:pPr>
            <w:r>
              <w:t xml:space="preserve">Egypt Cairo</w:t>
            </w:r>
            <w:r>
              <w:t xml:space="preserve"> </w:t>
            </w:r>
            <w:r>
              <w:t xml:space="preserve">— Nile Analytics Solutions S.A.E. Headquarters, New Cairo Business District</w:t>
            </w:r>
          </w:p>
        </w:tc>
      </w:tr>
      <w:tr>
        <w:tc>
          <w:tcPr/>
          <w:p>
            <w:pPr>
              <w:pStyle w:val="Compact"/>
              <w:jc w:val="left"/>
            </w:pPr>
            <w:r>
              <w:t xml:space="preserve">Issuing Authority</w:t>
            </w:r>
          </w:p>
        </w:tc>
        <w:tc>
          <w:tcPr/>
          <w:p>
            <w:pPr>
              <w:pStyle w:val="Compact"/>
              <w:jc w:val="left"/>
            </w:pPr>
            <w:r>
              <w:t xml:space="preserve">Mr. Ahmed Hassan, Chief Procurement Officer</w:t>
            </w:r>
          </w:p>
        </w:tc>
      </w:tr>
      <w:tr>
        <w:tc>
          <w:tcPr/>
          <w:p>
            <w:pPr>
              <w:pStyle w:val="Compact"/>
              <w:jc w:val="left"/>
            </w:pPr>
            <w:r>
              <w:t xml:space="preserve">Payment Terms</w:t>
            </w:r>
          </w:p>
        </w:tc>
        <w:tc>
          <w:tcPr/>
          <w:p>
            <w:pPr>
              <w:pStyle w:val="Compact"/>
              <w:jc w:val="left"/>
            </w:pPr>
            <w:r>
              <w:t xml:space="preserve">Monthly, net 30 days from invoice date</w:t>
            </w:r>
          </w:p>
        </w:tc>
      </w:tr>
      <w:tr>
        <w:tc>
          <w:tcPr/>
          <w:p>
            <w:pPr>
              <w:pStyle w:val="Compact"/>
              <w:jc w:val="left"/>
            </w:pPr>
            <w:r>
              <w:t xml:space="preserve">Currency</w:t>
            </w:r>
          </w:p>
        </w:tc>
        <w:tc>
          <w:tcPr/>
          <w:p>
            <w:pPr>
              <w:pStyle w:val="Compact"/>
              <w:jc w:val="left"/>
            </w:pPr>
            <w:r>
              <w:t xml:space="preserve">Egyptian Pound (EGP)</w:t>
            </w:r>
          </w:p>
        </w:tc>
      </w:tr>
    </w:tbl>
    <w:bookmarkEnd w:id="21"/>
    <w:bookmarkStart w:id="22" w:name="vendor-service-provider-information"/>
    <w:p>
      <w:pPr>
        <w:pStyle w:val="Heading2"/>
      </w:pPr>
      <w:r>
        <w:t xml:space="preserve">2. Vendor / Service Provider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Vendor Name</w:t>
            </w:r>
          </w:p>
        </w:tc>
        <w:tc>
          <w:tcPr/>
          <w:p>
            <w:pPr>
              <w:pStyle w:val="Compact"/>
              <w:jc w:val="left"/>
            </w:pPr>
            <w:r>
              <w:t xml:space="preserve">Dr. Mona El-Sayed, Independent Data Science Consultant</w:t>
            </w:r>
          </w:p>
        </w:tc>
      </w:tr>
      <w:tr>
        <w:tc>
          <w:tcPr/>
          <w:p>
            <w:pPr>
              <w:pStyle w:val="Compact"/>
              <w:jc w:val="left"/>
            </w:pPr>
            <w:r>
              <w:t xml:space="preserve">Business Registration No.</w:t>
            </w:r>
          </w:p>
        </w:tc>
        <w:tc>
          <w:tcPr/>
          <w:p>
            <w:pPr>
              <w:pStyle w:val="Compact"/>
              <w:jc w:val="left"/>
            </w:pPr>
            <w:r>
              <w:t xml:space="preserve">EG-TR-2024-78451</w:t>
            </w:r>
          </w:p>
        </w:tc>
      </w:tr>
      <w:tr>
        <w:tc>
          <w:tcPr/>
          <w:p>
            <w:pPr>
              <w:pStyle w:val="Compact"/>
              <w:jc w:val="left"/>
            </w:pPr>
            <w:r>
              <w:t xml:space="preserve">Address</w:t>
            </w:r>
          </w:p>
        </w:tc>
        <w:tc>
          <w:tcPr/>
          <w:p>
            <w:pPr>
              <w:pStyle w:val="Compact"/>
              <w:jc w:val="left"/>
            </w:pPr>
            <w:r>
              <w:t xml:space="preserve">45 Maadi Corniche Road, Maadi,</w:t>
            </w:r>
            <w:r>
              <w:t xml:space="preserve"> </w:t>
            </w:r>
            <w:r>
              <w:t xml:space="preserve">Egypt Cairo</w:t>
            </w:r>
            <w:r>
              <w:t xml:space="preserve"> </w:t>
            </w:r>
            <w:r>
              <w:t xml:space="preserve">11561</w:t>
            </w:r>
          </w:p>
        </w:tc>
      </w:tr>
      <w:tr>
        <w:tc>
          <w:tcPr/>
          <w:p>
            <w:pPr>
              <w:pStyle w:val="Compact"/>
              <w:jc w:val="left"/>
            </w:pPr>
            <w:r>
              <w:t xml:space="preserve">Tax Identification Number (TIN)</w:t>
            </w:r>
          </w:p>
        </w:tc>
        <w:tc>
          <w:tcPr/>
          <w:p>
            <w:pPr>
              <w:pStyle w:val="Compact"/>
              <w:jc w:val="left"/>
            </w:pPr>
            <w:r>
              <w:t xml:space="preserve">592-447-8812</w:t>
            </w:r>
          </w:p>
        </w:tc>
      </w:tr>
      <w:tr>
        <w:tc>
          <w:tcPr/>
          <w:p>
            <w:pPr>
              <w:pStyle w:val="Compact"/>
              <w:jc w:val="left"/>
            </w:pPr>
            <w:r>
              <w:t xml:space="preserve">Contact Email</w:t>
            </w:r>
          </w:p>
        </w:tc>
        <w:tc>
          <w:tcPr/>
          <w:p>
            <w:pPr>
              <w:pStyle w:val="Compact"/>
              <w:jc w:val="left"/>
            </w:pPr>
            <w:r>
              <w:t xml:space="preserve">m.elsayed@datascience-egypt.com</w:t>
            </w:r>
          </w:p>
        </w:tc>
      </w:tr>
      <w:tr>
        <w:tc>
          <w:tcPr/>
          <w:p>
            <w:pPr>
              <w:pStyle w:val="Compact"/>
              <w:jc w:val="left"/>
            </w:pPr>
            <w:r>
              <w:t xml:space="preserve">Phone</w:t>
            </w:r>
          </w:p>
        </w:tc>
        <w:tc>
          <w:tcPr/>
          <w:p>
            <w:pPr>
              <w:pStyle w:val="Compact"/>
              <w:jc w:val="left"/>
            </w:pPr>
            <w:r>
              <w:t xml:space="preserve">+20 100 554 7723</w:t>
            </w:r>
          </w:p>
        </w:tc>
      </w:tr>
    </w:tbl>
    <w:bookmarkEnd w:id="22"/>
    <w:bookmarkStart w:id="23" w:name="scope-of-work-data-scientist-engagement"/>
    <w:p>
      <w:pPr>
        <w:pStyle w:val="Heading2"/>
      </w:pPr>
      <w:r>
        <w:t xml:space="preserve">3. Scope of Work — Data Scientist Engagement</w:t>
      </w:r>
    </w:p>
    <w:p>
      <w:pPr>
        <w:pStyle w:val="FirstParagraph"/>
      </w:pPr>
      <w:r>
        <w:t xml:space="preserve">This</w:t>
      </w:r>
      <w:r>
        <w:t xml:space="preserve"> </w:t>
      </w:r>
      <w:r>
        <w:t xml:space="preserve">Purchase Order</w:t>
      </w:r>
      <w:r>
        <w:t xml:space="preserve"> </w:t>
      </w:r>
      <w:r>
        <w:t xml:space="preserve">is issued by Nile Analytics Solutions S.A.E. to formally engage a qualified</w:t>
      </w:r>
      <w:r>
        <w:t xml:space="preserve"> </w:t>
      </w:r>
      <w:r>
        <w:t xml:space="preserve">Data Scientist</w:t>
      </w:r>
      <w:r>
        <w:t xml:space="preserve"> </w:t>
      </w:r>
      <w:r>
        <w:t xml:space="preserve">to perform advanced analytics, machine learning model development, and predictive reporting services. The</w:t>
      </w:r>
      <w:r>
        <w:t xml:space="preserve"> </w:t>
      </w:r>
      <w:r>
        <w:t xml:space="preserve">Data Scientist</w:t>
      </w:r>
      <w:r>
        <w:t xml:space="preserve"> </w:t>
      </w:r>
      <w:r>
        <w:t xml:space="preserve">shall be based in</w:t>
      </w:r>
      <w:r>
        <w:t xml:space="preserve"> </w:t>
      </w:r>
      <w:r>
        <w:t xml:space="preserve">Egypt Cairo</w:t>
      </w:r>
      <w:r>
        <w:t xml:space="preserve"> </w:t>
      </w:r>
      <w:r>
        <w:t xml:space="preserve">and is expected to report to the Chief Data Officer at our New Cairo office no fewer than four (4) days per week, with the remaining time allocated to remote analytical work.</w:t>
      </w:r>
    </w:p>
    <w:p>
      <w:pPr>
        <w:pStyle w:val="BodyText"/>
      </w:pPr>
      <w:r>
        <w:t xml:space="preserve">The primary responsibilities of the</w:t>
      </w:r>
      <w:r>
        <w:t xml:space="preserve"> </w:t>
      </w:r>
      <w:r>
        <w:t xml:space="preserve">Data Scientist</w:t>
      </w:r>
      <w:r>
        <w:t xml:space="preserve"> </w:t>
      </w:r>
      <w:r>
        <w:t xml:space="preserve">under this</w:t>
      </w:r>
      <w:r>
        <w:t xml:space="preserve"> </w:t>
      </w:r>
      <w:r>
        <w:t xml:space="preserve">Purchase Order</w:t>
      </w:r>
      <w:r>
        <w:t xml:space="preserve"> </w:t>
      </w:r>
      <w:r>
        <w:t xml:space="preserve">include, but are not limited to:</w:t>
      </w:r>
    </w:p>
    <w:p>
      <w:pPr>
        <w:numPr>
          <w:ilvl w:val="0"/>
          <w:numId w:val="1001"/>
        </w:numPr>
        <w:pStyle w:val="Compact"/>
      </w:pPr>
      <w:r>
        <w:t xml:space="preserve">Designing, building, and deploying machine learning and deep learning models for customer segmentation, demand forecasting, and fraud detection across our Egyptian and MENA market operations.</w:t>
      </w:r>
    </w:p>
    <w:p>
      <w:pPr>
        <w:numPr>
          <w:ilvl w:val="0"/>
          <w:numId w:val="1001"/>
        </w:numPr>
        <w:pStyle w:val="Compact"/>
      </w:pPr>
      <w:r>
        <w:t xml:space="preserve">Conducting exploratory data analysis on datasets exceeding 500 GB, utilizing Python, R, SQL, and Apache Spark within the</w:t>
      </w:r>
      <w:r>
        <w:t xml:space="preserve"> </w:t>
      </w:r>
      <w:r>
        <w:t xml:space="preserve">Egypt Cairo</w:t>
      </w:r>
      <w:r>
        <w:t xml:space="preserve"> </w:t>
      </w:r>
      <w:r>
        <w:t xml:space="preserve">data center infrastructure.</w:t>
      </w:r>
    </w:p>
    <w:p>
      <w:pPr>
        <w:numPr>
          <w:ilvl w:val="0"/>
          <w:numId w:val="1001"/>
        </w:numPr>
        <w:pStyle w:val="Compact"/>
      </w:pPr>
      <w:r>
        <w:t xml:space="preserve">Developing and maintaining automated ETL pipelines to ensure data integrity and timely delivery of analytical outputs to business stakeholders.</w:t>
      </w:r>
    </w:p>
    <w:p>
      <w:pPr>
        <w:numPr>
          <w:ilvl w:val="0"/>
          <w:numId w:val="1001"/>
        </w:numPr>
        <w:pStyle w:val="Compact"/>
      </w:pPr>
      <w:r>
        <w:t xml:space="preserve">Producing weekly and monthly analytical reports, dashboards (Power BI / Tableau), and executive presentations for the board of directors.</w:t>
      </w:r>
    </w:p>
    <w:p>
      <w:pPr>
        <w:numPr>
          <w:ilvl w:val="0"/>
          <w:numId w:val="1001"/>
        </w:numPr>
        <w:pStyle w:val="Compact"/>
      </w:pPr>
      <w:r>
        <w:t xml:space="preserve">Mentoring junior analysts and contributing to the internal data science academy program hosted in</w:t>
      </w:r>
      <w:r>
        <w:t xml:space="preserve"> </w:t>
      </w:r>
      <w:r>
        <w:t xml:space="preserve">Egypt Cairo</w:t>
      </w:r>
      <w:r>
        <w:t xml:space="preserve">.</w:t>
      </w:r>
    </w:p>
    <w:p>
      <w:pPr>
        <w:numPr>
          <w:ilvl w:val="0"/>
          <w:numId w:val="1001"/>
        </w:numPr>
        <w:pStyle w:val="Compact"/>
      </w:pPr>
      <w:r>
        <w:t xml:space="preserve">Ensuring full compliance with Egypt's Data Protection Law (Law No. 151 of 2020) and all applicable regulatory standards governing the processing of personal data within</w:t>
      </w:r>
      <w:r>
        <w:t xml:space="preserve"> </w:t>
      </w:r>
      <w:r>
        <w:t xml:space="preserve">Egypt Cairo</w:t>
      </w:r>
      <w:r>
        <w:t xml:space="preserve">.</w:t>
      </w:r>
    </w:p>
    <w:bookmarkEnd w:id="23"/>
    <w:bookmarkStart w:id="24" w:name="financial-summary"/>
    <w:p>
      <w:pPr>
        <w:pStyle w:val="Heading2"/>
      </w:pPr>
      <w:r>
        <w:t xml:space="preserve">4. Financial Summary</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Unit</w:t>
            </w:r>
          </w:p>
        </w:tc>
        <w:tc>
          <w:tcPr/>
          <w:p>
            <w:pPr>
              <w:pStyle w:val="Compact"/>
              <w:jc w:val="left"/>
            </w:pPr>
            <w:r>
              <w:t xml:space="preserve">Rate (EGP)</w:t>
            </w:r>
          </w:p>
        </w:tc>
        <w:tc>
          <w:tcPr/>
          <w:p>
            <w:pPr>
              <w:pStyle w:val="Compact"/>
              <w:jc w:val="left"/>
            </w:pPr>
            <w:r>
              <w:t xml:space="preserve">Quantity</w:t>
            </w:r>
          </w:p>
        </w:tc>
        <w:tc>
          <w:tcPr/>
          <w:p>
            <w:pPr>
              <w:pStyle w:val="Compact"/>
              <w:jc w:val="left"/>
            </w:pPr>
            <w:r>
              <w:t xml:space="preserve">Amount (EGP)</w:t>
            </w:r>
          </w:p>
        </w:tc>
      </w:tr>
      <w:tr>
        <w:tc>
          <w:tcPr/>
          <w:p>
            <w:pPr>
              <w:pStyle w:val="Compact"/>
              <w:jc w:val="left"/>
            </w:pPr>
            <w:r>
              <w:t xml:space="preserve">01</w:t>
            </w:r>
          </w:p>
        </w:tc>
        <w:tc>
          <w:tcPr/>
          <w:p>
            <w:pPr>
              <w:pStyle w:val="Compact"/>
              <w:jc w:val="left"/>
            </w:pPr>
            <w:r>
              <w:t xml:space="preserve">Monthly professional fee —</w:t>
            </w:r>
            <w:r>
              <w:t xml:space="preserve"> </w:t>
            </w:r>
            <w:r>
              <w:t xml:space="preserve">Data Scientist</w:t>
            </w:r>
            <w:r>
              <w:t xml:space="preserve"> </w:t>
            </w:r>
            <w:r>
              <w:t xml:space="preserve">(senior level, 8+ years experience)</w:t>
            </w:r>
          </w:p>
        </w:tc>
        <w:tc>
          <w:tcPr/>
          <w:p>
            <w:pPr>
              <w:pStyle w:val="Compact"/>
              <w:jc w:val="left"/>
            </w:pPr>
            <w:r>
              <w:t xml:space="preserve">Month</w:t>
            </w:r>
          </w:p>
        </w:tc>
        <w:tc>
          <w:tcPr/>
          <w:p>
            <w:pPr>
              <w:pStyle w:val="Compact"/>
              <w:jc w:val="left"/>
            </w:pPr>
            <w:r>
              <w:t xml:space="preserve">85,000.00</w:t>
            </w:r>
          </w:p>
        </w:tc>
        <w:tc>
          <w:tcPr/>
          <w:p>
            <w:pPr>
              <w:pStyle w:val="Compact"/>
              <w:jc w:val="left"/>
            </w:pPr>
            <w:r>
              <w:t xml:space="preserve">12</w:t>
            </w:r>
          </w:p>
        </w:tc>
        <w:tc>
          <w:tcPr/>
          <w:p>
            <w:pPr>
              <w:pStyle w:val="Compact"/>
              <w:jc w:val="left"/>
            </w:pPr>
            <w:r>
              <w:t xml:space="preserve">1,020,000.00</w:t>
            </w:r>
          </w:p>
        </w:tc>
      </w:tr>
      <w:tr>
        <w:tc>
          <w:tcPr/>
          <w:p>
            <w:pPr>
              <w:pStyle w:val="Compact"/>
              <w:jc w:val="left"/>
            </w:pPr>
            <w:r>
              <w:t xml:space="preserve">02</w:t>
            </w:r>
          </w:p>
        </w:tc>
        <w:tc>
          <w:tcPr/>
          <w:p>
            <w:pPr>
              <w:pStyle w:val="Compact"/>
              <w:jc w:val="left"/>
            </w:pPr>
            <w:r>
              <w:t xml:space="preserve">Cloud computing and GPU compute credits (AWS Cairo Region / local equivalent)</w:t>
            </w:r>
          </w:p>
        </w:tc>
        <w:tc>
          <w:tcPr/>
          <w:p>
            <w:pPr>
              <w:pStyle w:val="Compact"/>
              <w:jc w:val="left"/>
            </w:pPr>
            <w:r>
              <w:t xml:space="preserve">Month</w:t>
            </w:r>
          </w:p>
        </w:tc>
        <w:tc>
          <w:tcPr/>
          <w:p>
            <w:pPr>
              <w:pStyle w:val="Compact"/>
              <w:jc w:val="left"/>
            </w:pPr>
            <w:r>
              <w:t xml:space="preserve">12,500.00</w:t>
            </w:r>
          </w:p>
        </w:tc>
        <w:tc>
          <w:tcPr/>
          <w:p>
            <w:pPr>
              <w:pStyle w:val="Compact"/>
              <w:jc w:val="left"/>
            </w:pPr>
            <w:r>
              <w:t xml:space="preserve">12</w:t>
            </w:r>
          </w:p>
        </w:tc>
        <w:tc>
          <w:tcPr/>
          <w:p>
            <w:pPr>
              <w:pStyle w:val="Compact"/>
              <w:jc w:val="left"/>
            </w:pPr>
            <w:r>
              <w:t xml:space="preserve">150,000.00</w:t>
            </w:r>
          </w:p>
        </w:tc>
      </w:tr>
      <w:tr>
        <w:tc>
          <w:tcPr/>
          <w:p>
            <w:pPr>
              <w:pStyle w:val="Compact"/>
              <w:jc w:val="left"/>
            </w:pPr>
            <w:r>
              <w:t xml:space="preserve">03</w:t>
            </w:r>
          </w:p>
        </w:tc>
        <w:tc>
          <w:tcPr/>
          <w:p>
            <w:pPr>
              <w:pStyle w:val="Compact"/>
              <w:jc w:val="left"/>
            </w:pPr>
            <w:r>
              <w:t xml:space="preserve">Licensed software subscriptions (Python IDE, statistical tools, BI platform seats)</w:t>
            </w:r>
          </w:p>
        </w:tc>
        <w:tc>
          <w:tcPr/>
          <w:p>
            <w:pPr>
              <w:pStyle w:val="Compact"/>
              <w:jc w:val="left"/>
            </w:pPr>
            <w:r>
              <w:t xml:space="preserve">Year</w:t>
            </w:r>
          </w:p>
        </w:tc>
        <w:tc>
          <w:tcPr/>
          <w:p>
            <w:pPr>
              <w:pStyle w:val="Compact"/>
              <w:jc w:val="left"/>
            </w:pPr>
            <w:r>
              <w:t xml:space="preserve">48,000.00</w:t>
            </w:r>
          </w:p>
        </w:tc>
        <w:tc>
          <w:tcPr/>
          <w:p>
            <w:pPr>
              <w:pStyle w:val="Compact"/>
              <w:jc w:val="left"/>
            </w:pPr>
            <w:r>
              <w:t xml:space="preserve">1</w:t>
            </w:r>
          </w:p>
        </w:tc>
        <w:tc>
          <w:tcPr/>
          <w:p>
            <w:pPr>
              <w:pStyle w:val="Compact"/>
              <w:jc w:val="left"/>
            </w:pPr>
            <w:r>
              <w:t xml:space="preserve">48,000.00</w:t>
            </w:r>
          </w:p>
        </w:tc>
      </w:tr>
      <w:tr>
        <w:tc>
          <w:tcPr/>
          <w:p>
            <w:pPr>
              <w:pStyle w:val="Compact"/>
              <w:jc w:val="left"/>
            </w:pPr>
            <w:r>
              <w:t xml:space="preserve">04</w:t>
            </w:r>
          </w:p>
        </w:tc>
        <w:tc>
          <w:tcPr/>
          <w:p>
            <w:pPr>
              <w:pStyle w:val="Compact"/>
              <w:jc w:val="left"/>
            </w:pPr>
            <w:r>
              <w:t xml:space="preserve">Travel and local transportation allowance within</w:t>
            </w:r>
            <w:r>
              <w:t xml:space="preserve"> </w:t>
            </w:r>
            <w:r>
              <w:t xml:space="preserve">Egypt Cairo</w:t>
            </w:r>
            <w:r>
              <w:t xml:space="preserve"> </w:t>
            </w:r>
            <w:r>
              <w:t xml:space="preserve">and Greater Cairo metropolitan area</w:t>
            </w:r>
          </w:p>
        </w:tc>
        <w:tc>
          <w:tcPr/>
          <w:p>
            <w:pPr>
              <w:pStyle w:val="Compact"/>
              <w:jc w:val="left"/>
            </w:pPr>
            <w:r>
              <w:t xml:space="preserve">Month</w:t>
            </w:r>
          </w:p>
        </w:tc>
        <w:tc>
          <w:tcPr/>
          <w:p>
            <w:pPr>
              <w:pStyle w:val="Compact"/>
              <w:jc w:val="left"/>
            </w:pPr>
            <w:r>
              <w:t xml:space="preserve">4,000.00</w:t>
            </w:r>
          </w:p>
        </w:tc>
        <w:tc>
          <w:tcPr/>
          <w:p>
            <w:pPr>
              <w:pStyle w:val="Compact"/>
              <w:jc w:val="left"/>
            </w:pPr>
            <w:r>
              <w:t xml:space="preserve">12</w:t>
            </w:r>
          </w:p>
        </w:tc>
        <w:tc>
          <w:tcPr/>
          <w:p>
            <w:pPr>
              <w:pStyle w:val="Compact"/>
              <w:jc w:val="left"/>
            </w:pPr>
            <w:r>
              <w:t xml:space="preserve">48,000.00</w:t>
            </w:r>
          </w:p>
        </w:tc>
      </w:tr>
      <w:tr>
        <w:tc>
          <w:tcPr/>
          <w:p>
            <w:pPr>
              <w:pStyle w:val="Compact"/>
              <w:jc w:val="left"/>
            </w:pPr>
            <w:r>
              <w:t xml:space="preserve">05</w:t>
            </w:r>
          </w:p>
        </w:tc>
        <w:tc>
          <w:tcPr/>
          <w:p>
            <w:pPr>
              <w:pStyle w:val="Compact"/>
              <w:jc w:val="left"/>
            </w:pPr>
            <w:r>
              <w:t xml:space="preserve">One-time onboarding and environment setup fee</w:t>
            </w:r>
          </w:p>
        </w:tc>
        <w:tc>
          <w:tcPr/>
          <w:p>
            <w:pPr>
              <w:pStyle w:val="Compact"/>
              <w:jc w:val="left"/>
            </w:pPr>
            <w:r>
              <w:t xml:space="preserve">Flat</w:t>
            </w:r>
          </w:p>
        </w:tc>
        <w:tc>
          <w:tcPr/>
          <w:p>
            <w:pPr>
              <w:pStyle w:val="Compact"/>
              <w:jc w:val="left"/>
            </w:pPr>
            <w:r>
              <w:t xml:space="preserve">15,000.00</w:t>
            </w:r>
          </w:p>
        </w:tc>
        <w:tc>
          <w:tcPr/>
          <w:p>
            <w:pPr>
              <w:pStyle w:val="Compact"/>
              <w:jc w:val="left"/>
            </w:pPr>
            <w:r>
              <w:t xml:space="preserve">1</w:t>
            </w:r>
          </w:p>
        </w:tc>
        <w:tc>
          <w:tcPr/>
          <w:p>
            <w:pPr>
              <w:pStyle w:val="Compact"/>
              <w:jc w:val="left"/>
            </w:pPr>
            <w:r>
              <w:t xml:space="preserve">15,000.00</w:t>
            </w:r>
          </w:p>
        </w:tc>
      </w:tr>
      <w:tr>
        <w:tc>
          <w:tcPr>
            <w:gridSpan w:val="5"/>
          </w:tcPr>
          <w:p>
            <w:pPr>
              <w:pStyle w:val="Compact"/>
              <w:jc w:val="left"/>
            </w:pPr>
            <w:r>
              <w:t xml:space="preserve">Subtotal (EGP)</w:t>
            </w:r>
          </w:p>
        </w:tc>
        <w:tc>
          <w:tcPr/>
          <w:p>
            <w:pPr>
              <w:pStyle w:val="Compact"/>
              <w:jc w:val="left"/>
            </w:pPr>
            <w:r>
              <w:t xml:space="preserve">1,281,000.00</w:t>
            </w:r>
          </w:p>
        </w:tc>
      </w:tr>
      <w:tr>
        <w:tc>
          <w:tcPr>
            <w:gridSpan w:val="5"/>
          </w:tcPr>
          <w:p>
            <w:pPr>
              <w:pStyle w:val="Compact"/>
              <w:jc w:val="left"/>
            </w:pPr>
            <w:r>
              <w:t xml:space="preserve">VAT @ 14% (Egyptian Value Added Tax)</w:t>
            </w:r>
          </w:p>
        </w:tc>
        <w:tc>
          <w:tcPr/>
          <w:p>
            <w:pPr>
              <w:pStyle w:val="Compact"/>
              <w:jc w:val="left"/>
            </w:pPr>
            <w:r>
              <w:t xml:space="preserve">179,340.00</w:t>
            </w:r>
          </w:p>
        </w:tc>
      </w:tr>
      <w:tr>
        <w:tc>
          <w:tcPr>
            <w:gridSpan w:val="5"/>
          </w:tcPr>
          <w:p>
            <w:pPr>
              <w:pStyle w:val="Compact"/>
              <w:jc w:val="left"/>
            </w:pPr>
            <w:r>
              <w:t xml:space="preserve">TOTAL AMOUNT DUE (EGP)</w:t>
            </w:r>
          </w:p>
        </w:tc>
        <w:tc>
          <w:tcPr/>
          <w:p>
            <w:pPr>
              <w:pStyle w:val="Compact"/>
              <w:jc w:val="left"/>
            </w:pPr>
            <w:r>
              <w:t xml:space="preserve">1,460,340.00</w:t>
            </w:r>
          </w:p>
        </w:tc>
      </w:tr>
    </w:tbl>
    <w:bookmarkEnd w:id="24"/>
    <w:bookmarkStart w:id="25" w:name="terms-and-conditions"/>
    <w:p>
      <w:pPr>
        <w:pStyle w:val="Heading2"/>
      </w:pPr>
      <w:r>
        <w:t xml:space="preserve">5. Terms and Conditions</w:t>
      </w:r>
    </w:p>
    <w:p>
      <w:pPr>
        <w:numPr>
          <w:ilvl w:val="0"/>
          <w:numId w:val="1002"/>
        </w:numPr>
        <w:pStyle w:val="Compact"/>
      </w:pPr>
      <w:r>
        <w:t xml:space="preserve">This</w:t>
      </w:r>
      <w:r>
        <w:t xml:space="preserve"> </w:t>
      </w:r>
      <w:r>
        <w:t xml:space="preserve">Purchase Order</w:t>
      </w:r>
      <w:r>
        <w:t xml:space="preserve"> </w:t>
      </w:r>
      <w:r>
        <w:t xml:space="preserve">constitutes a binding agreement between Nile Analytics Solutions S.A.E. and the named</w:t>
      </w:r>
      <w:r>
        <w:t xml:space="preserve"> </w:t>
      </w:r>
      <w:r>
        <w:t xml:space="preserve">Data Scientist</w:t>
      </w:r>
      <w:r>
        <w:t xml:space="preserve"> </w:t>
      </w:r>
      <w:r>
        <w:t xml:space="preserve">vendor upon countersignature. All work shall be performed in accordance with Egyptian commercial law and the Civil Code of Egypt.</w:t>
      </w:r>
    </w:p>
    <w:p>
      <w:pPr>
        <w:numPr>
          <w:ilvl w:val="0"/>
          <w:numId w:val="1002"/>
        </w:numPr>
        <w:pStyle w:val="Compact"/>
      </w:pPr>
      <w:r>
        <w:t xml:space="preserve">The</w:t>
      </w:r>
      <w:r>
        <w:t xml:space="preserve"> </w:t>
      </w:r>
      <w:r>
        <w:t xml:space="preserve">Data Scientist</w:t>
      </w:r>
      <w:r>
        <w:t xml:space="preserve"> </w:t>
      </w:r>
      <w:r>
        <w:t xml:space="preserve">shall maintain all intellectual property rights generated during the engagement in the name of Nile Analytics Solutions S.A.E. No proprietary algorithms, models, or datasets developed under this</w:t>
      </w:r>
      <w:r>
        <w:t xml:space="preserve"> </w:t>
      </w:r>
      <w:r>
        <w:t xml:space="preserve">Purchase Order</w:t>
      </w:r>
      <w:r>
        <w:t xml:space="preserve"> </w:t>
      </w:r>
      <w:r>
        <w:t xml:space="preserve">may be reused or disclosed to third parties without written consent.</w:t>
      </w:r>
    </w:p>
    <w:p>
      <w:pPr>
        <w:numPr>
          <w:ilvl w:val="0"/>
          <w:numId w:val="1002"/>
        </w:numPr>
        <w:pStyle w:val="Compact"/>
      </w:pPr>
      <w:r>
        <w:t xml:space="preserve">Payment shall be processed via bank transfer to the vendor's designated account in an Egyptian commercial bank. Invoices must be submitted by the 5th business day of each month for the preceding month's services.</w:t>
      </w:r>
    </w:p>
    <w:p>
      <w:pPr>
        <w:numPr>
          <w:ilvl w:val="0"/>
          <w:numId w:val="1002"/>
        </w:numPr>
        <w:pStyle w:val="Compact"/>
      </w:pPr>
      <w:r>
        <w:t xml:space="preserve">The</w:t>
      </w:r>
      <w:r>
        <w:t xml:space="preserve"> </w:t>
      </w:r>
      <w:r>
        <w:t xml:space="preserve">Data Scientist</w:t>
      </w:r>
      <w:r>
        <w:t xml:space="preserve"> </w:t>
      </w:r>
      <w:r>
        <w:t xml:space="preserve">is required to maintain professional liability insurance with a minimum coverage of EGP 5,000,000, valid throughout the contract term in</w:t>
      </w:r>
      <w:r>
        <w:t xml:space="preserve"> </w:t>
      </w:r>
      <w:r>
        <w:t xml:space="preserve">Egypt Cairo</w:t>
      </w:r>
      <w:r>
        <w:t xml:space="preserve">.</w:t>
      </w:r>
    </w:p>
    <w:p>
      <w:pPr>
        <w:numPr>
          <w:ilvl w:val="0"/>
          <w:numId w:val="1002"/>
        </w:numPr>
        <w:pStyle w:val="Compact"/>
      </w:pPr>
      <w:r>
        <w:t xml:space="preserve">Either party may terminate this</w:t>
      </w:r>
      <w:r>
        <w:t xml:space="preserve"> </w:t>
      </w:r>
      <w:r>
        <w:t xml:space="preserve">Purchase Order</w:t>
      </w:r>
      <w:r>
        <w:t xml:space="preserve"> </w:t>
      </w:r>
      <w:r>
        <w:t xml:space="preserve">with thirty (30) days' written notice. In the event of early termination, the</w:t>
      </w:r>
      <w:r>
        <w:t xml:space="preserve"> </w:t>
      </w:r>
      <w:r>
        <w:t xml:space="preserve">Data Scientist</w:t>
      </w:r>
      <w:r>
        <w:t xml:space="preserve"> </w:t>
      </w:r>
      <w:r>
        <w:t xml:space="preserve">shall be compensated for all services rendered up to the termination date, plus a pro-rata portion of the onboarding fee.</w:t>
      </w:r>
    </w:p>
    <w:p>
      <w:pPr>
        <w:numPr>
          <w:ilvl w:val="0"/>
          <w:numId w:val="1002"/>
        </w:numPr>
        <w:pStyle w:val="Compact"/>
      </w:pPr>
      <w:r>
        <w:t xml:space="preserve">All disputes arising from this</w:t>
      </w:r>
      <w:r>
        <w:t xml:space="preserve"> </w:t>
      </w:r>
      <w:r>
        <w:t xml:space="preserve">Purchase Order</w:t>
      </w:r>
      <w:r>
        <w:t xml:space="preserve"> </w:t>
      </w:r>
      <w:r>
        <w:t xml:space="preserve">shall be resolved through arbitration in</w:t>
      </w:r>
      <w:r>
        <w:t xml:space="preserve"> </w:t>
      </w:r>
      <w:r>
        <w:t xml:space="preserve">Egypt Cairo</w:t>
      </w:r>
      <w:r>
        <w:t xml:space="preserve"> </w:t>
      </w:r>
      <w:r>
        <w:t xml:space="preserve">in accordance with the rules of the Egyptian Arbitration Center, and the governing law shall be the laws of the Arab Republic of Egypt.</w:t>
      </w:r>
    </w:p>
    <w:p>
      <w:pPr>
        <w:numPr>
          <w:ilvl w:val="0"/>
          <w:numId w:val="1002"/>
        </w:numPr>
        <w:pStyle w:val="Compact"/>
      </w:pPr>
      <w:r>
        <w:t xml:space="preserve">The</w:t>
      </w:r>
      <w:r>
        <w:t xml:space="preserve"> </w:t>
      </w:r>
      <w:r>
        <w:t xml:space="preserve">Data Scientist</w:t>
      </w:r>
      <w:r>
        <w:t xml:space="preserve"> </w:t>
      </w:r>
      <w:r>
        <w:t xml:space="preserve">agrees to a non-compete clause for a period of six (6) months following the conclusion of this engagement, applicable to the</w:t>
      </w:r>
      <w:r>
        <w:t xml:space="preserve"> </w:t>
      </w:r>
      <w:r>
        <w:t xml:space="preserve">Egypt Cairo</w:t>
      </w:r>
      <w:r>
        <w:t xml:space="preserve"> </w:t>
      </w:r>
      <w:r>
        <w:t xml:space="preserve">and Greater Cairo market.</w:t>
      </w:r>
    </w:p>
    <w:bookmarkEnd w:id="25"/>
    <w:bookmarkStart w:id="26" w:name="acceptance-and-authorization"/>
    <w:p>
      <w:pPr>
        <w:pStyle w:val="Heading2"/>
      </w:pPr>
      <w:r>
        <w:t xml:space="preserve">6. Acceptance and Authorization</w:t>
      </w:r>
    </w:p>
    <w:p>
      <w:pPr>
        <w:pStyle w:val="FirstParagraph"/>
      </w:pPr>
      <w:r>
        <w:t xml:space="preserve">By signing below, both parties acknowledge and agree to all terms, conditions, and financial obligations outlined in this</w:t>
      </w:r>
      <w:r>
        <w:t xml:space="preserve"> </w:t>
      </w:r>
      <w:r>
        <w:t xml:space="preserve">Purchase Order</w:t>
      </w:r>
      <w:r>
        <w:t xml:space="preserve"> </w:t>
      </w:r>
      <w:r>
        <w:t xml:space="preserve">for the engagement of a</w:t>
      </w:r>
      <w:r>
        <w:t xml:space="preserve"> </w:t>
      </w:r>
      <w:r>
        <w:t xml:space="preserve">Data Scientist</w:t>
      </w:r>
      <w:r>
        <w:t xml:space="preserve"> </w:t>
      </w:r>
      <w:r>
        <w:t xml:space="preserve">in</w:t>
      </w:r>
      <w:r>
        <w:t xml:space="preserve"> </w:t>
      </w:r>
      <w:r>
        <w:t xml:space="preserve">Egypt Cairo</w:t>
      </w:r>
      <w:r>
        <w:t xml:space="preserve">.</w:t>
      </w:r>
    </w:p>
    <w:bookmarkEnd w:id="26"/>
    <w:p>
      <w:pPr>
        <w:pStyle w:val="BodyText"/>
      </w:pPr>
      <w:r>
        <w:rPr>
          <w:bCs/>
          <w:b/>
        </w:rPr>
        <w:t xml:space="preserve">For Nile Analytics Solutions S.A.E.</w:t>
      </w:r>
      <w:r>
        <w:br/>
      </w:r>
      <w:r>
        <w:t xml:space="preserve">Name: Ahmed Hassan</w:t>
      </w:r>
      <w:r>
        <w:br/>
      </w:r>
      <w:r>
        <w:t xml:space="preserve">Title: Chief Procurement Officer</w:t>
      </w:r>
      <w:r>
        <w:br/>
      </w:r>
      <w:r>
        <w:t xml:space="preserve">Date: _______________</w:t>
      </w:r>
    </w:p>
    <w:p>
      <w:pPr>
        <w:pStyle w:val="BodyText"/>
      </w:pPr>
      <w:r>
        <w:rPr>
          <w:bCs/>
          <w:b/>
        </w:rPr>
        <w:t xml:space="preserve">For the Data Scientist Vendor</w:t>
      </w:r>
      <w:r>
        <w:br/>
      </w:r>
      <w:r>
        <w:t xml:space="preserve">Name: Dr. Mona El-Sayed</w:t>
      </w:r>
      <w:r>
        <w:br/>
      </w:r>
      <w:r>
        <w:t xml:space="preserve">Title: Independent Data Science Consultant</w:t>
      </w:r>
      <w:r>
        <w:br/>
      </w:r>
      <w:r>
        <w:t xml:space="preserve">Date: _______________</w:t>
      </w:r>
    </w:p>
    <w:p>
      <w:pPr>
        <w:pStyle w:val="BodyText"/>
      </w:pPr>
      <w:r>
        <w:t xml:space="preserve">This Purchase Order (PO-EGY-2025-04782) is valid for 30 calendar days from the date of issue. For inquiries regarding this Purchase Order, Data Scientist engagement terms, or Egypt Cairo operational matters, please contact the Procurement Division at procurement@nileanalytics.com.eg or +20 2 2534 8890. This document is generated electronically and is legally binding without a physical stamp.</w:t>
      </w:r>
    </w:p>
    <w:p>
      <w:pPr>
        <w:pStyle w:val="BodyText"/>
      </w:pPr>
      <w:r>
        <w:t xml:space="preserve">© 2025 Nile Analytics Solutions S.A.E. — All Rights Reserved. Registered in Cairo, Egypt.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Data Scientist - Egypt Cairo</dc:title>
  <dc:creator/>
  <dc:language>en</dc:language>
  <cp:keywords/>
  <dcterms:created xsi:type="dcterms:W3CDTF">2026-10-10T05:07:34Z</dcterms:created>
  <dcterms:modified xsi:type="dcterms:W3CDTF">2026-10-10T05:07:34Z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