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Reference: PO-IL-TLV-2025-04782</w:t>
      </w:r>
    </w:p>
    <w:bookmarkEnd w:id="20"/>
    <w:p>
      <w:pPr>
        <w:pStyle w:val="BodyText"/>
      </w:pPr>
      <w:r>
        <w:rPr>
          <w:bCs/>
          <w:b/>
        </w:rPr>
        <w:t xml:space="preserve">Purchase Order Number:</w:t>
      </w:r>
      <w:r>
        <w:t xml:space="preserve"> </w:t>
      </w:r>
      <w:r>
        <w:t xml:space="preserve">PO-IL-TLV-2025-04782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Meridian Analytics Group Ltd.</w:t>
            </w:r>
            <w:r>
              <w:br/>
            </w:r>
            <w:r>
              <w:t xml:space="preserve">45 HaYarkon Street, Floor 12</w:t>
            </w:r>
            <w:r>
              <w:br/>
            </w:r>
            <w:r>
              <w:t xml:space="preserve">Tel Aviv-Yafo, 6971901</w:t>
            </w:r>
            <w:r>
              <w:br/>
            </w:r>
            <w:r>
              <w:t xml:space="preserve">Israel</w:t>
            </w:r>
            <w:r>
              <w:br/>
            </w:r>
            <w:r>
              <w:t xml:space="preserve">VAT: 51-804-221-77</w:t>
            </w:r>
            <w:r>
              <w:br/>
            </w:r>
            <w:r>
              <w:t xml:space="preserve">Contact: procurement@meridian-analytics.co.il</w:t>
            </w:r>
          </w:p>
        </w:tc>
        <w:tc>
          <w:tcPr/>
          <w:p>
            <w:pPr>
              <w:pStyle w:val="Compact"/>
              <w:jc w:val="left"/>
            </w:pPr>
            <w:r>
              <w:rPr>
                <w:bCs/>
                <w:b/>
              </w:rPr>
              <w:t xml:space="preserve">Apex Data Solutions Consulting</w:t>
            </w:r>
            <w:r>
              <w:br/>
            </w:r>
            <w:r>
              <w:t xml:space="preserve">128 Allenby Boulevard, Suite 304</w:t>
            </w:r>
            <w:r>
              <w:br/>
            </w:r>
            <w:r>
              <w:t xml:space="preserve">Tel Aviv-Yafo, 6500204</w:t>
            </w:r>
            <w:r>
              <w:br/>
            </w:r>
            <w:r>
              <w:t xml:space="preserve">Israel</w:t>
            </w:r>
            <w:r>
              <w:br/>
            </w:r>
            <w:r>
              <w:t xml:space="preserve">VAT: 51-917-553-02</w:t>
            </w:r>
            <w:r>
              <w:br/>
            </w:r>
            <w:r>
              <w:t xml:space="preserve">Contact: contracts@apexdatasolutions.co.il</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Meridian Analytics Group Ltd. to formally engage the services of a qualified</w:t>
      </w:r>
      <w:r>
        <w:t xml:space="preserve"> </w:t>
      </w:r>
      <w:r>
        <w:t xml:space="preserve">Data Scientist</w:t>
      </w:r>
      <w:r>
        <w:t xml:space="preserve"> </w:t>
      </w:r>
      <w:r>
        <w:t xml:space="preserve">to be deployed at the buyer's operational headquarters located in</w:t>
      </w:r>
      <w:r>
        <w:t xml:space="preserve"> </w:t>
      </w:r>
      <w:r>
        <w:t xml:space="preserve">Israel Tel Aviv</w:t>
      </w:r>
      <w:r>
        <w:t xml:space="preserve">. The engagement is structured as a professional consulting arrangement under which the Data Scientist shall perform advanced analytical, machine learning, and statistical modeling tasks in support of the buyer's enterprise data strategy.</w:t>
      </w:r>
    </w:p>
    <w:p>
      <w:pPr>
        <w:pStyle w:val="BodyText"/>
      </w:pPr>
      <w:r>
        <w:t xml:space="preserve">The Data Scientist engaged under this Purchase Order shall be responsible for designing, developing, and deploying predictive analytics pipelines, natural language processing models, and deep learning architectures tailored to the buyer's business intelligence requirements. All work shall be conducted primarily at the buyer's office in Israel Tel Aviv, with the possibility of hybrid remote work as mutually agreed upon in writing.</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Data Scientist — Predictive Modeling &amp; ML Pipeline Development</w:t>
            </w:r>
          </w:p>
        </w:tc>
        <w:tc>
          <w:tcPr/>
          <w:p>
            <w:pPr>
              <w:pStyle w:val="Compact"/>
              <w:jc w:val="left"/>
            </w:pPr>
            <w:r>
              <w:t xml:space="preserve">6 months</w:t>
            </w:r>
          </w:p>
        </w:tc>
        <w:tc>
          <w:tcPr/>
          <w:p>
            <w:pPr>
              <w:pStyle w:val="Compact"/>
              <w:jc w:val="left"/>
            </w:pPr>
            <w:r>
              <w:t xml:space="preserve">42,000 / month</w:t>
            </w:r>
          </w:p>
        </w:tc>
        <w:tc>
          <w:tcPr/>
          <w:p>
            <w:pPr>
              <w:pStyle w:val="Compact"/>
              <w:jc w:val="left"/>
            </w:pPr>
            <w:r>
              <w:t xml:space="preserve">252,000</w:t>
            </w:r>
          </w:p>
        </w:tc>
      </w:tr>
      <w:tr>
        <w:tc>
          <w:tcPr/>
          <w:p>
            <w:pPr>
              <w:pStyle w:val="Compact"/>
              <w:jc w:val="left"/>
            </w:pPr>
            <w:r>
              <w:t xml:space="preserve">2</w:t>
            </w:r>
          </w:p>
        </w:tc>
        <w:tc>
          <w:tcPr/>
          <w:p>
            <w:pPr>
              <w:pStyle w:val="Compact"/>
              <w:jc w:val="left"/>
            </w:pPr>
            <w:r>
              <w:t xml:space="preserve">Data Scientist — NLP &amp; Deep Learning Model Architecture</w:t>
            </w:r>
          </w:p>
        </w:tc>
        <w:tc>
          <w:tcPr/>
          <w:p>
            <w:pPr>
              <w:pStyle w:val="Compact"/>
              <w:jc w:val="left"/>
            </w:pPr>
            <w:r>
              <w:t xml:space="preserve">6 months</w:t>
            </w:r>
          </w:p>
        </w:tc>
        <w:tc>
          <w:tcPr/>
          <w:p>
            <w:pPr>
              <w:pStyle w:val="Compact"/>
              <w:jc w:val="left"/>
            </w:pPr>
            <w:r>
              <w:t xml:space="preserve">38,000 / month</w:t>
            </w:r>
          </w:p>
        </w:tc>
        <w:tc>
          <w:tcPr/>
          <w:p>
            <w:pPr>
              <w:pStyle w:val="Compact"/>
              <w:jc w:val="left"/>
            </w:pPr>
            <w:r>
              <w:t xml:space="preserve">228,000</w:t>
            </w:r>
          </w:p>
        </w:tc>
      </w:tr>
      <w:tr>
        <w:tc>
          <w:tcPr/>
          <w:p>
            <w:pPr>
              <w:pStyle w:val="Compact"/>
              <w:jc w:val="left"/>
            </w:pPr>
            <w:r>
              <w:t xml:space="preserve">3</w:t>
            </w:r>
          </w:p>
        </w:tc>
        <w:tc>
          <w:tcPr/>
          <w:p>
            <w:pPr>
              <w:pStyle w:val="Compact"/>
              <w:jc w:val="left"/>
            </w:pPr>
            <w:r>
              <w:t xml:space="preserve">On-site Data Scientist Support — Israel Tel Aviv Office (Infrastructure Setup)</w:t>
            </w:r>
          </w:p>
        </w:tc>
        <w:tc>
          <w:tcPr/>
          <w:p>
            <w:pPr>
              <w:pStyle w:val="Compact"/>
              <w:jc w:val="left"/>
            </w:pPr>
            <w:r>
              <w:t xml:space="preserve">1 month</w:t>
            </w:r>
          </w:p>
        </w:tc>
        <w:tc>
          <w:tcPr/>
          <w:p>
            <w:pPr>
              <w:pStyle w:val="Compact"/>
              <w:jc w:val="left"/>
            </w:pPr>
            <w:r>
              <w:t xml:space="preserve">15,000 / month</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Knowledge Transfer &amp; Documentation (Data Scientist handover package)</w:t>
            </w:r>
          </w:p>
        </w:tc>
        <w:tc>
          <w:tcPr/>
          <w:p>
            <w:pPr>
              <w:pStyle w:val="Compact"/>
              <w:jc w:val="left"/>
            </w:pPr>
            <w:r>
              <w:t xml:space="preserve">1 month</w:t>
            </w:r>
          </w:p>
        </w:tc>
        <w:tc>
          <w:tcPr/>
          <w:p>
            <w:pPr>
              <w:pStyle w:val="Compact"/>
              <w:jc w:val="left"/>
            </w:pPr>
            <w:r>
              <w:t xml:space="preserve">20,000 / month</w:t>
            </w:r>
          </w:p>
        </w:tc>
        <w:tc>
          <w:tcPr/>
          <w:p>
            <w:pPr>
              <w:pStyle w:val="Compact"/>
              <w:jc w:val="left"/>
            </w:pPr>
            <w:r>
              <w:t xml:space="preserve">20,000</w:t>
            </w:r>
          </w:p>
        </w:tc>
      </w:tr>
      <w:tr>
        <w:tc>
          <w:tcPr>
            <w:gridSpan w:val="4"/>
          </w:tcPr>
          <w:p>
            <w:pPr>
              <w:pStyle w:val="Compact"/>
              <w:jc w:val="right"/>
            </w:pPr>
            <w:r>
              <w:t xml:space="preserve">Subtotal:</w:t>
            </w:r>
          </w:p>
        </w:tc>
        <w:tc>
          <w:tcPr/>
          <w:p>
            <w:pPr>
              <w:pStyle w:val="Compact"/>
              <w:jc w:val="left"/>
            </w:pPr>
            <w:r>
              <w:t xml:space="preserve">515,000</w:t>
            </w:r>
          </w:p>
        </w:tc>
      </w:tr>
      <w:tr>
        <w:tc>
          <w:tcPr>
            <w:gridSpan w:val="4"/>
          </w:tcPr>
          <w:p>
            <w:pPr>
              <w:pStyle w:val="Compact"/>
              <w:jc w:val="right"/>
            </w:pPr>
            <w:r>
              <w:t xml:space="preserve">VAT (18%):</w:t>
            </w:r>
          </w:p>
        </w:tc>
        <w:tc>
          <w:tcPr/>
          <w:p>
            <w:pPr>
              <w:pStyle w:val="Compact"/>
              <w:jc w:val="left"/>
            </w:pPr>
            <w:r>
              <w:t xml:space="preserve">92,700</w:t>
            </w:r>
          </w:p>
        </w:tc>
      </w:tr>
      <w:tr>
        <w:tc>
          <w:tcPr>
            <w:gridSpan w:val="4"/>
          </w:tcPr>
          <w:p>
            <w:pPr>
              <w:pStyle w:val="Compact"/>
              <w:jc w:val="right"/>
            </w:pPr>
            <w:r>
              <w:t xml:space="preserve">Grand Total (ILS):</w:t>
            </w:r>
          </w:p>
        </w:tc>
        <w:tc>
          <w:tcPr/>
          <w:p>
            <w:pPr>
              <w:pStyle w:val="Compact"/>
              <w:jc w:val="left"/>
            </w:pPr>
            <w:r>
              <w:t xml:space="preserve">607,700</w:t>
            </w:r>
          </w:p>
        </w:tc>
      </w:tr>
    </w:tbl>
    <w:p>
      <w:pPr>
        <w:pStyle w:val="BodyText"/>
      </w:pPr>
      <w:r>
        <w:t xml:space="preserve">4. Terms and Conditions</w:t>
      </w:r>
    </w:p>
    <w:p>
      <w:pPr>
        <w:numPr>
          <w:ilvl w:val="0"/>
          <w:numId w:val="1001"/>
        </w:numPr>
        <w:pStyle w:val="Compact"/>
      </w:pPr>
      <w:r>
        <w:rPr>
          <w:bCs/>
          <w:b/>
        </w:rPr>
        <w:t xml:space="preserve">Commencement:</w:t>
      </w:r>
      <w:r>
        <w:t xml:space="preserve"> </w:t>
      </w:r>
      <w:r>
        <w:t xml:space="preserve">The Data Scientist engagement under this Purchase Order shall commence on July 1, 2025, at the buyer's premises in Israel Tel Aviv, unless otherwise notified in writing by either party no fewer than fourteen (14) calendar days prior to the start date.</w:t>
      </w:r>
    </w:p>
    <w:p>
      <w:pPr>
        <w:numPr>
          <w:ilvl w:val="0"/>
          <w:numId w:val="1001"/>
        </w:numPr>
        <w:pStyle w:val="Compact"/>
      </w:pPr>
      <w:r>
        <w:rPr>
          <w:bCs/>
          <w:b/>
        </w:rPr>
        <w:t xml:space="preserve">Work Location:</w:t>
      </w:r>
      <w:r>
        <w:t xml:space="preserve"> </w:t>
      </w:r>
      <w:r>
        <w:t xml:space="preserve">All on-site duties of the Data Scientist shall be performed at the buyer's facility in Israel Tel Aviv. The buyer shall provide a dedicated workstation, secure network access, and all necessary computational resources (GPU clusters, cloud credits) required for the Data Scientist to execute the scope of work.</w:t>
      </w:r>
    </w:p>
    <w:p>
      <w:pPr>
        <w:numPr>
          <w:ilvl w:val="0"/>
          <w:numId w:val="1001"/>
        </w:numPr>
        <w:pStyle w:val="Compact"/>
      </w:pPr>
      <w:r>
        <w:rPr>
          <w:bCs/>
          <w:b/>
        </w:rPr>
        <w:t xml:space="preserve">Payment Terms:</w:t>
      </w:r>
      <w:r>
        <w:t xml:space="preserve"> </w:t>
      </w:r>
      <w:r>
        <w:t xml:space="preserve">Invoices shall be submitted monthly in arrears. Payment shall be processed within thirty (30) days of receipt of a valid invoice. All payments shall be made in Israeli New Shekels (ILS) via bank transfer to the supplier's designated account. Late payments shall accrue interest at the rate prescribed by Israeli law.</w:t>
      </w:r>
    </w:p>
    <w:p>
      <w:pPr>
        <w:numPr>
          <w:ilvl w:val="0"/>
          <w:numId w:val="1001"/>
        </w:numPr>
        <w:pStyle w:val="Compact"/>
      </w:pPr>
      <w:r>
        <w:rPr>
          <w:bCs/>
          <w:b/>
        </w:rPr>
        <w:t xml:space="preserve">Intellectual Property:</w:t>
      </w:r>
      <w:r>
        <w:t xml:space="preserve"> </w:t>
      </w:r>
      <w:r>
        <w:t xml:space="preserve">All models, code, datasets, documentation, and analytical outputs produced by the Data Scientist in the course of fulfilling this Purchase Order shall be the exclusive property of the buyer. The supplier warrants that no third-party intellectual property rights shall be infringed by the deliverables.</w:t>
      </w:r>
    </w:p>
    <w:p>
      <w:pPr>
        <w:numPr>
          <w:ilvl w:val="0"/>
          <w:numId w:val="1001"/>
        </w:numPr>
        <w:pStyle w:val="Compact"/>
      </w:pPr>
      <w:r>
        <w:rPr>
          <w:bCs/>
          <w:b/>
        </w:rPr>
        <w:t xml:space="preserve">Confidentiality:</w:t>
      </w:r>
      <w:r>
        <w:t xml:space="preserve"> </w:t>
      </w:r>
      <w:r>
        <w:t xml:space="preserve">The Data Scientist shall be bound by a non-disclosure agreement (NDA) executed prior to commencement. All proprietary data, algorithms, and business strategies encountered during the engagement in Israel Tel Aviv shall be treated as strictly confidential and shall not be disclosed to any third party without written consent.</w:t>
      </w:r>
    </w:p>
    <w:p>
      <w:pPr>
        <w:numPr>
          <w:ilvl w:val="0"/>
          <w:numId w:val="1001"/>
        </w:numPr>
        <w:pStyle w:val="Compact"/>
      </w:pPr>
      <w:r>
        <w:rPr>
          <w:bCs/>
          <w:b/>
        </w:rPr>
        <w:t xml:space="preserve">Compliance with Israeli Law:</w:t>
      </w:r>
      <w:r>
        <w:t xml:space="preserve"> </w:t>
      </w:r>
      <w:r>
        <w:t xml:space="preserve">This Purchase Order and the services rendered hereunder shall be governed by and construed in accordance with the laws of the State of Israel. Any disputes arising from this Purchase Order shall be subject to the exclusive jurisdiction of the competent courts in Tel Aviv, Israel.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up to the effective date of termination, and the Data Scientist shall deliver all work-in-progress materials to the buyer.</w:t>
      </w:r>
    </w:p>
    <w:p>
      <w:pPr>
        <w:numPr>
          <w:ilvl w:val="0"/>
          <w:numId w:val="1001"/>
        </w:numPr>
        <w:pStyle w:val="Compact"/>
      </w:pPr>
      <w:r>
        <w:rPr>
          <w:bCs/>
          <w:b/>
        </w:rPr>
        <w:t xml:space="preserve">Performance Standards:</w:t>
      </w:r>
      <w:r>
        <w:t xml:space="preserve"> </w:t>
      </w:r>
      <w:r>
        <w:t xml:space="preserve">The Data Scientist shall adhere to the project milestones outlined in the attached Statement of Work (SOW). Failure to meet agreed-upon deliverable deadlines without prior written justification may result in a service credit of 5% of the monthly fee per week of delay, up to a maximum of 25%.</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ILS 2,000,000 throughout the duration of this Purchase Order. The supplier's aggregate liability under this Purchase Order shall not exceed the total contract value.</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authorized representatives of both parties. Any change in scope, timeline, or compensation for the Data Scientist engagement must be documented as a formal amendment to this Purchase Order.</w:t>
      </w:r>
    </w:p>
    <w:p>
      <w:pPr>
        <w:pStyle w:val="FirstParagraph"/>
      </w:pPr>
      <w:r>
        <w:t xml:space="preserve">5. Acceptance and Authorization</w:t>
      </w:r>
    </w:p>
    <w:p>
      <w:pPr>
        <w:pStyle w:val="BodyText"/>
      </w:pPr>
      <w:r>
        <w:t xml:space="preserve">By signing below, both parties acknowledge that this Purchase Order constitutes a binding agreement for the procurement of Data Scientist professional services to be delivered in Israel Tel Aviv. This document supersedes all prior negotiations, correspondence, and understandings between the parties regarding the subject matter herein.</w:t>
      </w:r>
    </w:p>
    <w:p>
      <w:pPr>
        <w:pStyle w:val="BodyText"/>
      </w:pPr>
      <w:r>
        <w:rPr>
          <w:bCs/>
          <w:b/>
        </w:rPr>
        <w:t xml:space="preserve">For the Buyer:</w:t>
      </w:r>
      <w:r>
        <w:br/>
      </w:r>
      <w:r>
        <w:t xml:space="preserve">Meridian Analytics Group Ltd.</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the Supplier:</w:t>
      </w:r>
      <w:r>
        <w:br/>
      </w:r>
      <w:r>
        <w:t xml:space="preserve">Apex Data Solutions Consulting</w:t>
      </w:r>
      <w:r>
        <w:br/>
      </w:r>
      <w:r>
        <w:t xml:space="preserve">Name: _________________________</w:t>
      </w:r>
      <w:r>
        <w:br/>
      </w:r>
      <w:r>
        <w:t xml:space="preserve">Title: Managing Director</w:t>
      </w:r>
      <w:r>
        <w:br/>
      </w:r>
      <w:r>
        <w:t xml:space="preserve">Date: _________________________</w:t>
      </w:r>
    </w:p>
    <w:p>
      <w:pPr>
        <w:pStyle w:val="BodyText"/>
      </w:pPr>
      <w:r>
        <w:t xml:space="preserve">This Purchase Order (PO-IL-TLV-2025-04782) is a controlled document. Unauthorized reproduction or distribution is prohibited. For inquiries regarding this Data Scientist engagement in Israel Tel Aviv, contact the Procurement Department at procurement@meridian-analytics.co.il. Document version: 1.0 | Issued: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Israel Tel Aviv</dc:title>
  <dc:creator/>
  <dc:language>en</dc:language>
  <cp:keywords/>
  <dcterms:created xsi:type="dcterms:W3CDTF">2026-10-10T06:24:58Z</dcterms:created>
  <dcterms:modified xsi:type="dcterms:W3CDTF">2026-10-10T06:24:58Z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