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PO-JP-KYO-2025-04782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Priority:</w:t>
      </w:r>
      <w:r>
        <w:t xml:space="preserve"> </w:t>
      </w:r>
      <w:r>
        <w:t xml:space="preserve">High</w:t>
      </w:r>
    </w:p>
    <w:p>
      <w:pPr>
        <w:pStyle w:val="BodyText"/>
      </w:pPr>
      <w:r>
        <w:rPr>
          <w:bCs/>
          <w:b/>
        </w:rPr>
        <w:t xml:space="preserve">Document Classification:</w:t>
      </w:r>
      <w:r>
        <w:t xml:space="preserve"> </w:t>
      </w:r>
      <w:r>
        <w:t xml:space="preserve">Confidential</w:t>
      </w:r>
      <w:r>
        <w:br/>
      </w:r>
      <w:r>
        <w:rPr>
          <w:bCs/>
          <w:b/>
        </w:rPr>
        <w:t xml:space="preserve">Department:</w:t>
      </w:r>
      <w:r>
        <w:t xml:space="preserve"> </w:t>
      </w:r>
      <w:r>
        <w:t xml:space="preserve">Technology &amp; Analytics Division</w:t>
      </w:r>
      <w:r>
        <w:br/>
      </w:r>
      <w:r>
        <w:rPr>
          <w:bCs/>
          <w:b/>
        </w:rPr>
        <w:t xml:space="preserve">Reference Code:</w:t>
      </w:r>
      <w:r>
        <w:t xml:space="preserve"> </w:t>
      </w:r>
      <w:r>
        <w:t xml:space="preserve">DS-KYO-2025-Q2</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Kyoto Advanced Analytics Institute Co., Ltd.</w:t>
            </w:r>
          </w:p>
        </w:tc>
      </w:tr>
      <w:tr>
        <w:tc>
          <w:tcPr/>
          <w:p>
            <w:pPr>
              <w:pStyle w:val="Compact"/>
              <w:jc w:val="left"/>
            </w:pPr>
            <w:r>
              <w:t xml:space="preserve">Address</w:t>
            </w:r>
          </w:p>
        </w:tc>
        <w:tc>
          <w:tcPr/>
          <w:p>
            <w:pPr>
              <w:pStyle w:val="Compact"/>
              <w:jc w:val="left"/>
            </w:pPr>
            <w:r>
              <w:t xml:space="preserve">2-14-8 Shichijo, Nakagyo-ku, Kyoto 604-8001, Japan Kyoto</w:t>
            </w:r>
          </w:p>
        </w:tc>
      </w:tr>
      <w:tr>
        <w:tc>
          <w:tcPr/>
          <w:p>
            <w:pPr>
              <w:pStyle w:val="Compact"/>
              <w:jc w:val="left"/>
            </w:pPr>
            <w:r>
              <w:t xml:space="preserve">Registration No.</w:t>
            </w:r>
          </w:p>
        </w:tc>
        <w:tc>
          <w:tcPr/>
          <w:p>
            <w:pPr>
              <w:pStyle w:val="Compact"/>
              <w:jc w:val="left"/>
            </w:pPr>
            <w:r>
              <w:t xml:space="preserve">JP-601-2019-44872</w:t>
            </w:r>
          </w:p>
        </w:tc>
      </w:tr>
      <w:tr>
        <w:tc>
          <w:tcPr/>
          <w:p>
            <w:pPr>
              <w:pStyle w:val="Compact"/>
              <w:jc w:val="left"/>
            </w:pPr>
            <w:r>
              <w:t xml:space="preserve">Contact Person</w:t>
            </w:r>
          </w:p>
        </w:tc>
        <w:tc>
          <w:tcPr/>
          <w:p>
            <w:pPr>
              <w:pStyle w:val="Compact"/>
              <w:jc w:val="left"/>
            </w:pPr>
            <w:r>
              <w:t xml:space="preserve">Mr. Hiroshi Tanaka, Director of Procurement</w:t>
            </w:r>
          </w:p>
        </w:tc>
      </w:tr>
      <w:tr>
        <w:tc>
          <w:tcPr/>
          <w:p>
            <w:pPr>
              <w:pStyle w:val="Compact"/>
              <w:jc w:val="left"/>
            </w:pPr>
            <w:r>
              <w:t xml:space="preserve">Email</w:t>
            </w:r>
          </w:p>
        </w:tc>
        <w:tc>
          <w:tcPr/>
          <w:p>
            <w:pPr>
              <w:pStyle w:val="Compact"/>
              <w:jc w:val="left"/>
            </w:pPr>
            <w:r>
              <w:t xml:space="preserve">procurement@kyoto-aii.co.jp</w:t>
            </w:r>
          </w:p>
        </w:tc>
      </w:tr>
      <w:tr>
        <w:tc>
          <w:tcPr/>
          <w:p>
            <w:pPr>
              <w:pStyle w:val="Compact"/>
              <w:jc w:val="left"/>
            </w:pPr>
            <w:r>
              <w:t xml:space="preserve">Phone</w:t>
            </w:r>
          </w:p>
        </w:tc>
        <w:tc>
          <w:tcPr/>
          <w:p>
            <w:pPr>
              <w:pStyle w:val="Compact"/>
              <w:jc w:val="left"/>
            </w:pPr>
            <w:r>
              <w:t xml:space="preserve">+81-75-555-0142</w:t>
            </w:r>
          </w:p>
        </w:tc>
      </w:tr>
    </w:tbl>
    <w:bookmarkEnd w:id="20"/>
    <w:bookmarkStart w:id="21" w:name="vendor-service-provider-seller"/>
    <w:p>
      <w:pPr>
        <w:pStyle w:val="Heading2"/>
      </w:pPr>
      <w:r>
        <w:t xml:space="preserve">2. Vendor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Data Solutions Consulting LLC</w:t>
            </w:r>
          </w:p>
        </w:tc>
      </w:tr>
      <w:tr>
        <w:tc>
          <w:tcPr/>
          <w:p>
            <w:pPr>
              <w:pStyle w:val="Compact"/>
              <w:jc w:val="left"/>
            </w:pPr>
            <w:r>
              <w:t xml:space="preserve">Address</w:t>
            </w:r>
          </w:p>
        </w:tc>
        <w:tc>
          <w:tcPr/>
          <w:p>
            <w:pPr>
              <w:pStyle w:val="Compact"/>
              <w:jc w:val="left"/>
            </w:pPr>
            <w:r>
              <w:t xml:space="preserve">450 Innovation Drive, Suite 300, San Francisco, CA 94107, USA</w:t>
            </w:r>
          </w:p>
        </w:tc>
      </w:tr>
      <w:tr>
        <w:tc>
          <w:tcPr/>
          <w:p>
            <w:pPr>
              <w:pStyle w:val="Compact"/>
              <w:jc w:val="left"/>
            </w:pPr>
            <w:r>
              <w:t xml:space="preserve">Registration No.</w:t>
            </w:r>
          </w:p>
        </w:tc>
        <w:tc>
          <w:tcPr/>
          <w:p>
            <w:pPr>
              <w:pStyle w:val="Compact"/>
              <w:jc w:val="left"/>
            </w:pPr>
            <w:r>
              <w:t xml:space="preserve">US-CA-2014-88231</w:t>
            </w:r>
          </w:p>
        </w:tc>
      </w:tr>
      <w:tr>
        <w:tc>
          <w:tcPr/>
          <w:p>
            <w:pPr>
              <w:pStyle w:val="Compact"/>
              <w:jc w:val="left"/>
            </w:pPr>
            <w:r>
              <w:t xml:space="preserve">Contact Person</w:t>
            </w:r>
          </w:p>
        </w:tc>
        <w:tc>
          <w:tcPr/>
          <w:p>
            <w:pPr>
              <w:pStyle w:val="Compact"/>
              <w:jc w:val="left"/>
            </w:pPr>
            <w:r>
              <w:t xml:space="preserve">Ms. Sarah Mitchell, Account Manager</w:t>
            </w:r>
          </w:p>
        </w:tc>
      </w:tr>
      <w:tr>
        <w:tc>
          <w:tcPr/>
          <w:p>
            <w:pPr>
              <w:pStyle w:val="Compact"/>
              <w:jc w:val="left"/>
            </w:pPr>
            <w:r>
              <w:t xml:space="preserve">Email</w:t>
            </w:r>
          </w:p>
        </w:tc>
        <w:tc>
          <w:tcPr/>
          <w:p>
            <w:pPr>
              <w:pStyle w:val="Compact"/>
              <w:jc w:val="left"/>
            </w:pPr>
            <w:r>
              <w:t xml:space="preserve">s.mitchell@globaldatasolutions.com</w:t>
            </w:r>
          </w:p>
        </w:tc>
      </w:tr>
      <w:tr>
        <w:tc>
          <w:tcPr/>
          <w:p>
            <w:pPr>
              <w:pStyle w:val="Compact"/>
              <w:jc w:val="left"/>
            </w:pPr>
            <w:r>
              <w:t xml:space="preserve">Phone</w:t>
            </w:r>
          </w:p>
        </w:tc>
        <w:tc>
          <w:tcPr/>
          <w:p>
            <w:pPr>
              <w:pStyle w:val="Compact"/>
              <w:jc w:val="left"/>
            </w:pPr>
            <w:r>
              <w:t xml:space="preserve">+1-415-555-7823</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to formally authorize the engagement of a qualified</w:t>
      </w:r>
      <w:r>
        <w:t xml:space="preserve"> </w:t>
      </w:r>
      <w:r>
        <w:rPr>
          <w:bCs/>
          <w:b/>
        </w:rPr>
        <w:t xml:space="preserve">Data Scientist</w:t>
      </w:r>
      <w:r>
        <w:t xml:space="preserve"> </w:t>
      </w:r>
      <w:r>
        <w:t xml:space="preserve">to provide specialized analytical and machine learning services to the Kyoto Advanced Analytics Institute. The Data Scientist shall be assigned to the Japan Kyoto office and will operate under the direct supervision of the Chief Technology Officer. The scope of work encompasses the design, development, and deployment of predictive analytics models, natural language processing pipelines, and statistical reporting frameworks tailored to the operational needs of the Japan Kyoto research division.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Data Scientist – Full-time engagement (12 months). The Data Scientist shall reside and work at the Japan Kyoto headquarters, providing on-site analytical support, model development, and team mentoring. Responsibilities include building end-to-end data pipelines, conducting exploratory data analysis, implementing deep learning architectures, and presenting findings to executive stakeholders in the Japan Kyoto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Specialized Software Licenses and Computational Infrastructure for the Data Scientist. Includes GPU cloud credits, statistical software subscriptions (R, Python ecosystem, SAS), and access to proprietary data platforms required for the Data Scientist to perform duties in Japan Kyoto.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003</w:t>
            </w:r>
          </w:p>
        </w:tc>
        <w:tc>
          <w:tcPr/>
          <w:p>
            <w:pPr>
              <w:pStyle w:val="Compact"/>
              <w:jc w:val="left"/>
            </w:pPr>
            <w:r>
              <w:t xml:space="preserve">Onboarding, Visa Sponsorship, and Relocation Support for the Data Scientist to Japan Kyoto. Covers work visa processing (Engineer/Specialist in Humanities status), initial housing arrangement in Nakagyo-ku, Kyoto, language training (Japanese business proficiency), and cultural orientation specific to the Japan Kyoto work environment.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004</w:t>
            </w:r>
          </w:p>
        </w:tc>
        <w:tc>
          <w:tcPr/>
          <w:p>
            <w:pPr>
              <w:pStyle w:val="Compact"/>
              <w:jc w:val="left"/>
            </w:pPr>
            <w:r>
              <w:t xml:space="preserve">Quarterly Performance Review and Knowledge Transfer Sessions. The Data Scientist shall conduct structured knowledge transfer workshops for the internal Japan Kyoto team, ensuring institutional knowledge retention and capability building within the local analytics group.</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005</w:t>
            </w:r>
          </w:p>
        </w:tc>
        <w:tc>
          <w:tcPr/>
          <w:p>
            <w:pPr>
              <w:pStyle w:val="Compact"/>
              <w:jc w:val="left"/>
            </w:pPr>
            <w:r>
              <w:t xml:space="preserve">Contingency and Overtime Provision. Covers up to 15% additional hours for the Data Scientist in the event of accelerated project timelines or emergency data crisis response required by the Japan Kyoto operations team.</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27,750.00</w:t>
            </w:r>
          </w:p>
        </w:tc>
        <w:tc>
          <w:tcPr/>
          <w:p>
            <w:pPr>
              <w:pStyle w:val="Compact"/>
              <w:jc w:val="left"/>
            </w:pPr>
            <w:r>
              <w:t xml:space="preserve">27,750.00</w:t>
            </w:r>
          </w:p>
        </w:tc>
      </w:tr>
      <w:tr>
        <w:tc>
          <w:tcPr>
            <w:gridSpan w:val="5"/>
          </w:tcPr>
          <w:p>
            <w:pPr>
              <w:pStyle w:val="Compact"/>
              <w:jc w:val="right"/>
            </w:pPr>
            <w:r>
              <w:t xml:space="preserve">SUBTOTAL</w:t>
            </w:r>
          </w:p>
        </w:tc>
        <w:tc>
          <w:tcPr/>
          <w:p>
            <w:pPr>
              <w:pStyle w:val="Compact"/>
              <w:jc w:val="left"/>
            </w:pPr>
            <w:r>
              <w:t xml:space="preserve">268,800.00</w:t>
            </w:r>
          </w:p>
        </w:tc>
      </w:tr>
      <w:tr>
        <w:tc>
          <w:tcPr>
            <w:gridSpan w:val="5"/>
          </w:tcPr>
          <w:p>
            <w:pPr>
              <w:pStyle w:val="Compact"/>
              <w:jc w:val="right"/>
            </w:pPr>
            <w:r>
              <w:t xml:space="preserve">Applicable Tax (Japan Consumption Tax 10%)</w:t>
            </w:r>
          </w:p>
        </w:tc>
        <w:tc>
          <w:tcPr/>
          <w:p>
            <w:pPr>
              <w:pStyle w:val="Compact"/>
              <w:jc w:val="left"/>
            </w:pPr>
            <w:r>
              <w:t xml:space="preserve">26,880.00</w:t>
            </w:r>
          </w:p>
        </w:tc>
      </w:tr>
      <w:tr>
        <w:tc>
          <w:tcPr>
            <w:gridSpan w:val="5"/>
          </w:tcPr>
          <w:p>
            <w:pPr>
              <w:pStyle w:val="Compact"/>
              <w:jc w:val="right"/>
            </w:pPr>
            <w:r>
              <w:t xml:space="preserve">GRAND TOTAL (USD)</w:t>
            </w:r>
          </w:p>
        </w:tc>
        <w:tc>
          <w:tcPr/>
          <w:p>
            <w:pPr>
              <w:pStyle w:val="Compact"/>
              <w:jc w:val="left"/>
            </w:pPr>
            <w:r>
              <w:t xml:space="preserve">295,680.00</w:t>
            </w:r>
          </w:p>
        </w:tc>
      </w:tr>
    </w:tbl>
    <w:bookmarkEnd w:id="22"/>
    <w:bookmarkStart w:id="23" w:name="delivery-and-commencement-details"/>
    <w:p>
      <w:pPr>
        <w:pStyle w:val="Heading2"/>
      </w:pPr>
      <w:r>
        <w:t xml:space="preserve">4. Delivery and Commencement Details</w:t>
      </w:r>
    </w:p>
    <w:p>
      <w:pPr>
        <w:pStyle w:val="FirstParagraph"/>
      </w:pPr>
      <w:r>
        <w:t xml:space="preserve">The Data Scientist shall commence active duties at the Japan Kyoto headquarters no later than</w:t>
      </w:r>
      <w:r>
        <w:t xml:space="preserve"> </w:t>
      </w:r>
      <w:r>
        <w:rPr>
          <w:bCs/>
          <w:b/>
        </w:rPr>
        <w:t xml:space="preserve">August 1, 2025</w:t>
      </w:r>
      <w:r>
        <w:t xml:space="preserve">. All onboarding procedures, including visa acquisition and housing arrangements in Japan Kyoto, must be completed by July 25, 2025. The vendor is responsible for ensuring the Data Scientist meets all Japanese immigration requirements and holds a valid work authorization prior to arrival in Japan Kyoto. The engagement period is twelve (12) months from the commencement date, with a mutual option to extend for an additional six (6) months subject to performance evaluation.</w:t>
      </w:r>
    </w:p>
    <w:bookmarkEnd w:id="23"/>
    <w:bookmarkStart w:id="24" w:name="payment-terms"/>
    <w:p>
      <w:pPr>
        <w:pStyle w:val="Heading2"/>
      </w:pPr>
      <w:r>
        <w:t xml:space="preserve">5. Payment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and Visa Approval</w:t>
            </w:r>
          </w:p>
        </w:tc>
        <w:tc>
          <w:tcPr/>
          <w:p>
            <w:pPr>
              <w:pStyle w:val="Compact"/>
              <w:jc w:val="left"/>
            </w:pPr>
            <w:r>
              <w:t xml:space="preserve">25%</w:t>
            </w:r>
          </w:p>
        </w:tc>
        <w:tc>
          <w:tcPr/>
          <w:p>
            <w:pPr>
              <w:pStyle w:val="Compact"/>
              <w:jc w:val="left"/>
            </w:pPr>
            <w:r>
              <w:t xml:space="preserve">73,920.00</w:t>
            </w:r>
          </w:p>
        </w:tc>
        <w:tc>
          <w:tcPr/>
          <w:p>
            <w:pPr>
              <w:pStyle w:val="Compact"/>
              <w:jc w:val="left"/>
            </w:pPr>
            <w:r>
              <w:t xml:space="preserve">July 15, 2025</w:t>
            </w:r>
          </w:p>
        </w:tc>
      </w:tr>
      <w:tr>
        <w:tc>
          <w:tcPr/>
          <w:p>
            <w:pPr>
              <w:pStyle w:val="Compact"/>
              <w:jc w:val="left"/>
            </w:pPr>
            <w:r>
              <w:t xml:space="preserve">First Quarter Completion (Oct 1, 2025)</w:t>
            </w:r>
          </w:p>
        </w:tc>
        <w:tc>
          <w:tcPr/>
          <w:p>
            <w:pPr>
              <w:pStyle w:val="Compact"/>
              <w:jc w:val="left"/>
            </w:pPr>
            <w:r>
              <w:t xml:space="preserve">25%</w:t>
            </w:r>
          </w:p>
        </w:tc>
        <w:tc>
          <w:tcPr/>
          <w:p>
            <w:pPr>
              <w:pStyle w:val="Compact"/>
              <w:jc w:val="left"/>
            </w:pPr>
            <w:r>
              <w:t xml:space="preserve">73,920.00</w:t>
            </w:r>
          </w:p>
        </w:tc>
        <w:tc>
          <w:tcPr/>
          <w:p>
            <w:pPr>
              <w:pStyle w:val="Compact"/>
              <w:jc w:val="left"/>
            </w:pPr>
            <w:r>
              <w:t xml:space="preserve">October 15, 2025</w:t>
            </w:r>
          </w:p>
        </w:tc>
      </w:tr>
      <w:tr>
        <w:tc>
          <w:tcPr/>
          <w:p>
            <w:pPr>
              <w:pStyle w:val="Compact"/>
              <w:jc w:val="left"/>
            </w:pPr>
            <w:r>
              <w:t xml:space="preserve">Second Quarter Completion (Jan 1, 2026)</w:t>
            </w:r>
          </w:p>
        </w:tc>
        <w:tc>
          <w:tcPr/>
          <w:p>
            <w:pPr>
              <w:pStyle w:val="Compact"/>
              <w:jc w:val="left"/>
            </w:pPr>
            <w:r>
              <w:t xml:space="preserve">25%</w:t>
            </w:r>
          </w:p>
        </w:tc>
        <w:tc>
          <w:tcPr/>
          <w:p>
            <w:pPr>
              <w:pStyle w:val="Compact"/>
              <w:jc w:val="left"/>
            </w:pPr>
            <w:r>
              <w:t xml:space="preserve">73,920.00</w:t>
            </w:r>
          </w:p>
        </w:tc>
        <w:tc>
          <w:tcPr/>
          <w:p>
            <w:pPr>
              <w:pStyle w:val="Compact"/>
              <w:jc w:val="left"/>
            </w:pPr>
            <w:r>
              <w:t xml:space="preserve">January 15, 2026</w:t>
            </w:r>
          </w:p>
        </w:tc>
      </w:tr>
      <w:tr>
        <w:tc>
          <w:tcPr/>
          <w:p>
            <w:pPr>
              <w:pStyle w:val="Compact"/>
              <w:jc w:val="left"/>
            </w:pPr>
            <w:r>
              <w:t xml:space="preserve">Final Quarter and Project Closure (Jul 31, 2026)</w:t>
            </w:r>
          </w:p>
        </w:tc>
        <w:tc>
          <w:tcPr/>
          <w:p>
            <w:pPr>
              <w:pStyle w:val="Compact"/>
              <w:jc w:val="left"/>
            </w:pPr>
            <w:r>
              <w:t xml:space="preserve">25%</w:t>
            </w:r>
          </w:p>
        </w:tc>
        <w:tc>
          <w:tcPr/>
          <w:p>
            <w:pPr>
              <w:pStyle w:val="Compact"/>
              <w:jc w:val="left"/>
            </w:pPr>
            <w:r>
              <w:t xml:space="preserve">73,920.00</w:t>
            </w:r>
          </w:p>
        </w:tc>
        <w:tc>
          <w:tcPr/>
          <w:p>
            <w:pPr>
              <w:pStyle w:val="Compact"/>
              <w:jc w:val="left"/>
            </w:pPr>
            <w:r>
              <w:t xml:space="preserve">August 15, 2026</w:t>
            </w:r>
          </w:p>
        </w:tc>
      </w:tr>
    </w:tbl>
    <w:p>
      <w:pPr>
        <w:pStyle w:val="BodyText"/>
      </w:pPr>
      <w:r>
        <w:t xml:space="preserve">Payment shall be made via international wire transfer to the vendor's designated bank account. All invoices must reference this Purchase Order number (PO-JP-KYO-2025-04782). Late payments shall accrue interest at a rate of 1.5% per month as stipulated under Japanese commercial law.</w:t>
      </w:r>
    </w:p>
    <w:bookmarkEnd w:id="24"/>
    <w:bookmarkStart w:id="25" w:name="terms-and-conditions"/>
    <w:p>
      <w:pPr>
        <w:pStyle w:val="Heading2"/>
      </w:pPr>
      <w:r>
        <w:t xml:space="preserve">6. Terms and Conditions</w:t>
      </w:r>
    </w:p>
    <w:p>
      <w:pPr>
        <w:numPr>
          <w:ilvl w:val="0"/>
          <w:numId w:val="1001"/>
        </w:numPr>
        <w:pStyle w:val="Compact"/>
      </w:pPr>
      <w:r>
        <w:rPr>
          <w:bCs/>
          <w:b/>
        </w:rPr>
        <w:t xml:space="preserve">Confidentiality:</w:t>
      </w:r>
      <w:r>
        <w:t xml:space="preserve"> </w:t>
      </w:r>
      <w:r>
        <w:t xml:space="preserve">The Data Scientist shall sign a comprehensive Non-Disclosure Agreement (NDA) compliant with Japan's Act on the Protection of Personal Information (APPI) prior to accessing any proprietary data within the Japan Kyoto facility. All datasets, models, and analytical outputs produced during the engagement are the exclusive intellectual property of the Kyoto Advanced Analytics Institute.</w:t>
      </w:r>
    </w:p>
    <w:p>
      <w:pPr>
        <w:numPr>
          <w:ilvl w:val="0"/>
          <w:numId w:val="1001"/>
        </w:numPr>
        <w:pStyle w:val="Compact"/>
      </w:pPr>
      <w:r>
        <w:rPr>
          <w:bCs/>
          <w:b/>
        </w:rPr>
        <w:t xml:space="preserve">Compliance:</w:t>
      </w:r>
      <w:r>
        <w:t xml:space="preserve"> </w:t>
      </w:r>
      <w:r>
        <w:t xml:space="preserve">The Data Scientist must adhere to all Japanese labor laws, workplace safety regulations, and the specific operational protocols of the Japan Kyoto office. The vendor warrants that the Data Scientist possesses all necessary qualifications, certifications, and professional licenses.</w:t>
      </w:r>
    </w:p>
    <w:p>
      <w:pPr>
        <w:numPr>
          <w:ilvl w:val="0"/>
          <w:numId w:val="1001"/>
        </w:numPr>
        <w:pStyle w:val="Compact"/>
      </w:pPr>
      <w:r>
        <w:rPr>
          <w:bCs/>
          <w:b/>
        </w:rPr>
        <w:t xml:space="preserve">Performance Standards:</w:t>
      </w:r>
      <w:r>
        <w:t xml:space="preserve"> </w:t>
      </w:r>
      <w:r>
        <w:t xml:space="preserve">The Data Scientist shall deliver monthly progress reports to the Japan Kyoto management team. Failure to meet agreed-upon deliverables for two consecutive months shall constitute grounds for early termination of this Purchase Order with a 30-day written notice.</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and typhoons common to the Japan Kyoto region), government mandates, or other events beyond reasonable control.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Kyoto, Japan Kyoto, under the rules of the Japan Commercial Arbitration Association.</w:t>
      </w:r>
    </w:p>
    <w:p>
      <w:pPr>
        <w:numPr>
          <w:ilvl w:val="0"/>
          <w:numId w:val="1001"/>
        </w:numPr>
        <w:pStyle w:val="Compact"/>
      </w:pPr>
      <w:r>
        <w:rPr>
          <w:bCs/>
          <w:b/>
        </w:rPr>
        <w:t xml:space="preserve">Insurance:</w:t>
      </w:r>
      <w:r>
        <w:t xml:space="preserve"> </w:t>
      </w:r>
      <w:r>
        <w:t xml:space="preserve">The vendor shall maintain comprehensive professional liability insurance and workers' compensation coverage for the Data Scientist throughout the engagement period in Japan Kyoto.</w:t>
      </w:r>
    </w:p>
    <w:bookmarkEnd w:id="25"/>
    <w:bookmarkStart w:id="26" w:name="authorization-and-acceptance"/>
    <w:p>
      <w:pPr>
        <w:pStyle w:val="Heading2"/>
      </w:pPr>
      <w:r>
        <w:t xml:space="preserve">7. Authorization and Acceptance</w:t>
      </w:r>
    </w:p>
    <w:p>
      <w:pPr>
        <w:pStyle w:val="FirstParagraph"/>
      </w:pPr>
      <w:r>
        <w:t xml:space="preserve">This Purchase Order is issued and authorized by the undersigned representative of the Kyoto Advanced Analytics Institute Co., Ltd. The vendor's acceptance of this Purchase Order constitutes full agreement to all terms, conditions, and specifications outlined herein regarding the Data Scientist engagement in Japan Kyoto.</w:t>
      </w:r>
    </w:p>
    <w:p>
      <w:pPr>
        <w:pStyle w:val="BodyText"/>
      </w:pPr>
      <w:r>
        <w:rPr>
          <w:bCs/>
          <w:b/>
        </w:rPr>
        <w:t xml:space="preserve">For the Buyer:</w:t>
      </w:r>
      <w:r>
        <w:br/>
      </w:r>
      <w:r>
        <w:br/>
      </w:r>
      <w:r>
        <w:br/>
      </w:r>
      <w:r>
        <w:t xml:space="preserve">______________________________</w:t>
      </w:r>
      <w:r>
        <w:br/>
      </w:r>
      <w:r>
        <w:t xml:space="preserve">Hiroshi Tanaka</w:t>
      </w:r>
      <w:r>
        <w:br/>
      </w:r>
      <w:r>
        <w:t xml:space="preserve">Director of Procurement</w:t>
      </w:r>
      <w:r>
        <w:br/>
      </w:r>
      <w:r>
        <w:t xml:space="preserve">Kyoto Advanced Analytics Institute Co., Ltd.</w:t>
      </w:r>
      <w:r>
        <w:br/>
      </w:r>
      <w:r>
        <w:t xml:space="preserve">Date: _______________</w:t>
      </w:r>
    </w:p>
    <w:p>
      <w:pPr>
        <w:pStyle w:val="BodyText"/>
      </w:pPr>
      <w:r>
        <w:rPr>
          <w:bCs/>
          <w:b/>
        </w:rPr>
        <w:t xml:space="preserve">For the Vendor (Acceptance):</w:t>
      </w:r>
      <w:r>
        <w:br/>
      </w:r>
      <w:r>
        <w:br/>
      </w:r>
      <w:r>
        <w:br/>
      </w:r>
      <w:r>
        <w:t xml:space="preserve">______________________________</w:t>
      </w:r>
      <w:r>
        <w:br/>
      </w:r>
      <w:r>
        <w:t xml:space="preserve">Sarah Mitchell</w:t>
      </w:r>
      <w:r>
        <w:br/>
      </w:r>
      <w:r>
        <w:t xml:space="preserve">Account Manager</w:t>
      </w:r>
      <w:r>
        <w:br/>
      </w:r>
      <w:r>
        <w:t xml:space="preserve">Global Data Solutions Consulting LLC</w:t>
      </w:r>
      <w:r>
        <w:br/>
      </w:r>
      <w:r>
        <w:t xml:space="preserve">Date: _______________</w:t>
      </w:r>
    </w:p>
    <w:p>
      <w:pPr>
        <w:pStyle w:val="BodyText"/>
      </w:pPr>
      <w:r>
        <w:t xml:space="preserve">— End of Purchase Order PO-JP-KYO-2025-04782 —</w:t>
      </w:r>
    </w:p>
    <w:p>
      <w:pPr>
        <w:pStyle w:val="BodyText"/>
      </w:pPr>
      <w:r>
        <w:t xml:space="preserve">This document pertains to the engagement of a Data Scientist for operations in Japan Kyoto. All references to Japan Kyoto denote the primary work location at 2-14-8 Shichijo, Nakagyo-ku, Kyoto,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Japan Kyoto</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file>