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Frankfurt,</w:t>
      </w:r>
      <w:r>
        <w:t xml:space="preserve"> </w:t>
      </w:r>
      <w:r>
        <w:t xml:space="preserve">Germany</w:t>
      </w:r>
    </w:p>
    <w:bookmarkStart w:id="20" w:name="purchase-order"/>
    <w:p>
      <w:pPr>
        <w:pStyle w:val="Heading1"/>
      </w:pPr>
      <w:r>
        <w:t xml:space="preserve">PURCHASE ORDER</w:t>
      </w:r>
    </w:p>
    <w:p>
      <w:pPr>
        <w:pStyle w:val="FirstParagraph"/>
      </w:pPr>
      <w:r>
        <w:rPr>
          <w:bCs/>
          <w:b/>
        </w:rPr>
        <w:t xml:space="preserve">Dr. Michaela Schneider Dental Practice</w:t>
      </w:r>
    </w:p>
    <w:p>
      <w:pPr>
        <w:pStyle w:val="BodyText"/>
      </w:pPr>
      <w:r>
        <w:t xml:space="preserve">Goethestraße 42, 60311 Frankfurt am Main, Germany</w:t>
      </w:r>
    </w:p>
    <w:p>
      <w:pPr>
        <w:pStyle w:val="BodyText"/>
      </w:pPr>
      <w:r>
        <w:t xml:space="preserve">Phone: +49 69 1234 5678 | Email: office@dr-schneider-dental.de</w:t>
      </w:r>
    </w:p>
    <w:p>
      <w:pPr>
        <w:pStyle w:val="BodyText"/>
      </w:pPr>
      <w:r>
        <w:t xml:space="preserve">USt-IdNr.: DE 298 765 431 | Handelsregister: HRB 45210 Frankfurt am Main</w:t>
      </w:r>
    </w:p>
    <w:bookmarkEnd w:id="20"/>
    <w:p>
      <w:pPr>
        <w:pStyle w:val="BodyText"/>
      </w:pPr>
      <w:r>
        <w:rPr>
          <w:bCs/>
          <w:b/>
        </w:rPr>
        <w:t xml:space="preserve">Purchase Order No.:</w:t>
      </w:r>
      <w:r>
        <w:t xml:space="preserve"> </w:t>
      </w:r>
      <w:r>
        <w:t xml:space="preserve">PO-2025-FRA-00847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Supplier:</w:t>
      </w:r>
      <w:r>
        <w:t xml:space="preserve"> </w:t>
      </w:r>
      <w:r>
        <w:t xml:space="preserve">DentalPro Europe GmbH</w:t>
      </w:r>
    </w:p>
    <w:p>
      <w:pPr>
        <w:pStyle w:val="BodyText"/>
      </w:pPr>
      <w:r>
        <w:rPr>
          <w:bCs/>
          <w:b/>
        </w:rPr>
        <w:t xml:space="preserve">Supplier Address:</w:t>
      </w:r>
      <w:r>
        <w:t xml:space="preserve"> </w:t>
      </w:r>
      <w:r>
        <w:t xml:space="preserve">Industriestraße 18, 60549 Frankfurt, Germany</w:t>
      </w:r>
    </w:p>
    <w:p>
      <w:pPr>
        <w:pStyle w:val="BodyText"/>
      </w:pPr>
      <w:r>
        <w:rPr>
          <w:bCs/>
          <w:b/>
        </w:rPr>
        <w:t xml:space="preserve">Supplier Contact:</w:t>
      </w:r>
      <w:r>
        <w:t xml:space="preserve"> </w:t>
      </w:r>
      <w:r>
        <w:t xml:space="preserve">sales@dentalpro-europe.de</w:t>
      </w:r>
    </w:p>
    <w:p>
      <w:pPr>
        <w:pStyle w:val="BodyText"/>
      </w:pPr>
      <w:r>
        <w:rPr>
          <w:bCs/>
          <w:b/>
        </w:rPr>
        <w:t xml:space="preserve">Supplier VAT ID:</w:t>
      </w:r>
      <w:r>
        <w:t xml:space="preserve"> </w:t>
      </w:r>
      <w:r>
        <w:t xml:space="preserve">DE 812 345 678</w:t>
      </w:r>
    </w:p>
    <w:p>
      <w:pPr>
        <w:pStyle w:val="BodyText"/>
      </w:pPr>
      <w:r>
        <w:t xml:space="preserve">1. Purchase Order Description</w:t>
      </w:r>
    </w:p>
    <w:p>
      <w:pPr>
        <w:pStyle w:val="BodyText"/>
      </w:pPr>
      <w:r>
        <w:t xml:space="preserve">This</w:t>
      </w:r>
      <w:r>
        <w:t xml:space="preserve"> </w:t>
      </w:r>
      <w:r>
        <w:t xml:space="preserve">Purchase Order</w:t>
      </w:r>
      <w:r>
        <w:t xml:space="preserve"> </w:t>
      </w:r>
      <w:r>
        <w:t xml:space="preserve">is issued by Dr. Michaela Schneider Dental Practice, a registered dental clinic located in</w:t>
      </w:r>
      <w:r>
        <w:t xml:space="preserve"> </w:t>
      </w:r>
      <w:r>
        <w:t xml:space="preserve">Germany Frankfurt</w:t>
      </w:r>
      <w:r>
        <w:t xml:space="preserve"> </w:t>
      </w:r>
      <w:r>
        <w:t xml:space="preserve">(Frankfurt am Main), for the procurement of professional dental equipment, consumables, and laboratory materials. This</w:t>
      </w:r>
      <w:r>
        <w:t xml:space="preserve"> </w:t>
      </w:r>
      <w:r>
        <w:t xml:space="preserve">Purchase Order</w:t>
      </w:r>
      <w:r>
        <w:t xml:space="preserve"> </w:t>
      </w:r>
      <w:r>
        <w:t xml:space="preserve">governs the terms under which the</w:t>
      </w:r>
      <w:r>
        <w:t xml:space="preserve"> </w:t>
      </w:r>
      <w:r>
        <w:t xml:space="preserve">Dentist</w:t>
      </w:r>
      <w:r>
        <w:t xml:space="preserve"> </w:t>
      </w:r>
      <w:r>
        <w:t xml:space="preserve">practice will receive goods from the supplier DentalPro Europe GmbH. All items listed below are required to maintain the operational standards of the</w:t>
      </w:r>
      <w:r>
        <w:t xml:space="preserve"> </w:t>
      </w:r>
      <w:r>
        <w:t xml:space="preserve">Dentist</w:t>
      </w:r>
      <w:r>
        <w:t xml:space="preserve"> </w:t>
      </w:r>
      <w:r>
        <w:t xml:space="preserve">practice and to ensure compliance with the regulatory requirements set forth by the German Federal Association of Dentists (BZÄK) and the local Frankfurt dental authority.</w:t>
      </w:r>
    </w:p>
    <w:p>
      <w:pPr>
        <w:pStyle w:val="BodyText"/>
      </w:pPr>
      <w:r>
        <w:t xml:space="preserve">2. Line Items – Dental Supplies and Equipment</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Composite Filling Material – A2 Shade, 50g Syringe (DentalPro Premium Line)</w:t>
            </w:r>
          </w:p>
        </w:tc>
        <w:tc>
          <w:tcPr/>
          <w:p>
            <w:pPr>
              <w:pStyle w:val="Compact"/>
              <w:jc w:val="left"/>
            </w:pPr>
            <w:r>
              <w:t xml:space="preserve">24</w:t>
            </w:r>
          </w:p>
        </w:tc>
        <w:tc>
          <w:tcPr/>
          <w:p>
            <w:pPr>
              <w:pStyle w:val="Compact"/>
              <w:jc w:val="left"/>
            </w:pPr>
            <w:r>
              <w:t xml:space="preserve">pcs</w:t>
            </w:r>
          </w:p>
        </w:tc>
        <w:tc>
          <w:tcPr/>
          <w:p>
            <w:pPr>
              <w:pStyle w:val="Compact"/>
              <w:jc w:val="left"/>
            </w:pPr>
            <w:r>
              <w:t xml:space="preserve">38.50</w:t>
            </w:r>
          </w:p>
        </w:tc>
        <w:tc>
          <w:tcPr/>
          <w:p>
            <w:pPr>
              <w:pStyle w:val="Compact"/>
              <w:jc w:val="left"/>
            </w:pPr>
            <w:r>
              <w:t xml:space="preserve">924.00</w:t>
            </w:r>
          </w:p>
        </w:tc>
      </w:tr>
      <w:tr>
        <w:tc>
          <w:tcPr/>
          <w:p>
            <w:pPr>
              <w:pStyle w:val="Compact"/>
              <w:jc w:val="left"/>
            </w:pPr>
            <w:r>
              <w:t xml:space="preserve">02</w:t>
            </w:r>
          </w:p>
        </w:tc>
        <w:tc>
          <w:tcPr/>
          <w:p>
            <w:pPr>
              <w:pStyle w:val="Compact"/>
              <w:jc w:val="left"/>
            </w:pPr>
            <w:r>
              <w:t xml:space="preserve">Prophy Paste – Mint Flavor, 100g Jar (for patient hygiene sessions)</w:t>
            </w:r>
          </w:p>
        </w:tc>
        <w:tc>
          <w:tcPr/>
          <w:p>
            <w:pPr>
              <w:pStyle w:val="Compact"/>
              <w:jc w:val="left"/>
            </w:pPr>
            <w:r>
              <w:t xml:space="preserve">48</w:t>
            </w:r>
          </w:p>
        </w:tc>
        <w:tc>
          <w:tcPr/>
          <w:p>
            <w:pPr>
              <w:pStyle w:val="Compact"/>
              <w:jc w:val="left"/>
            </w:pPr>
            <w:r>
              <w:t xml:space="preserve">pcs</w:t>
            </w:r>
          </w:p>
        </w:tc>
        <w:tc>
          <w:tcPr/>
          <w:p>
            <w:pPr>
              <w:pStyle w:val="Compact"/>
              <w:jc w:val="left"/>
            </w:pPr>
            <w:r>
              <w:t xml:space="preserve">6.20</w:t>
            </w:r>
          </w:p>
        </w:tc>
        <w:tc>
          <w:tcPr/>
          <w:p>
            <w:pPr>
              <w:pStyle w:val="Compact"/>
              <w:jc w:val="left"/>
            </w:pPr>
            <w:r>
              <w:t xml:space="preserve">297.60</w:t>
            </w:r>
          </w:p>
        </w:tc>
      </w:tr>
      <w:tr>
        <w:tc>
          <w:tcPr/>
          <w:p>
            <w:pPr>
              <w:pStyle w:val="Compact"/>
              <w:jc w:val="left"/>
            </w:pPr>
            <w:r>
              <w:t xml:space="preserve">03</w:t>
            </w:r>
          </w:p>
        </w:tc>
        <w:tc>
          <w:tcPr/>
          <w:p>
            <w:pPr>
              <w:pStyle w:val="Compact"/>
              <w:jc w:val="left"/>
            </w:pPr>
            <w:r>
              <w:t xml:space="preserve">Disposable Dental Gloves – Nitrile, Size M, Box of 100</w:t>
            </w:r>
          </w:p>
        </w:tc>
        <w:tc>
          <w:tcPr/>
          <w:p>
            <w:pPr>
              <w:pStyle w:val="Compact"/>
              <w:jc w:val="left"/>
            </w:pPr>
            <w:r>
              <w:t xml:space="preserve">60</w:t>
            </w:r>
          </w:p>
        </w:tc>
        <w:tc>
          <w:tcPr/>
          <w:p>
            <w:pPr>
              <w:pStyle w:val="Compact"/>
              <w:jc w:val="left"/>
            </w:pPr>
            <w:r>
              <w:t xml:space="preserve">boxes</w:t>
            </w:r>
          </w:p>
        </w:tc>
        <w:tc>
          <w:tcPr/>
          <w:p>
            <w:pPr>
              <w:pStyle w:val="Compact"/>
              <w:jc w:val="left"/>
            </w:pPr>
            <w:r>
              <w:t xml:space="preserve">12.80</w:t>
            </w:r>
          </w:p>
        </w:tc>
        <w:tc>
          <w:tcPr/>
          <w:p>
            <w:pPr>
              <w:pStyle w:val="Compact"/>
              <w:jc w:val="left"/>
            </w:pPr>
            <w:r>
              <w:t xml:space="preserve">768.00</w:t>
            </w:r>
          </w:p>
        </w:tc>
      </w:tr>
      <w:tr>
        <w:tc>
          <w:tcPr/>
          <w:p>
            <w:pPr>
              <w:pStyle w:val="Compact"/>
              <w:jc w:val="left"/>
            </w:pPr>
            <w:r>
              <w:t xml:space="preserve">04</w:t>
            </w:r>
          </w:p>
        </w:tc>
        <w:tc>
          <w:tcPr/>
          <w:p>
            <w:pPr>
              <w:pStyle w:val="Compact"/>
              <w:jc w:val="left"/>
            </w:pPr>
            <w:r>
              <w:t xml:space="preserve">Intraoral Camera – HD 5MP with LED Ring Light (for diagnostic imaging)</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05</w:t>
            </w:r>
          </w:p>
        </w:tc>
        <w:tc>
          <w:tcPr/>
          <w:p>
            <w:pPr>
              <w:pStyle w:val="Compact"/>
              <w:jc w:val="left"/>
            </w:pPr>
            <w:r>
              <w:t xml:space="preserve">Dental Implant Kit – Titanium Grade 5, 3.5mm x 10mm (surgical set)</w:t>
            </w:r>
          </w:p>
        </w:tc>
        <w:tc>
          <w:tcPr/>
          <w:p>
            <w:pPr>
              <w:pStyle w:val="Compact"/>
              <w:jc w:val="left"/>
            </w:pPr>
            <w:r>
              <w:t xml:space="preserve">10</w:t>
            </w:r>
          </w:p>
        </w:tc>
        <w:tc>
          <w:tcPr/>
          <w:p>
            <w:pPr>
              <w:pStyle w:val="Compact"/>
              <w:jc w:val="left"/>
            </w:pPr>
            <w:r>
              <w:t xml:space="preserve">sets</w:t>
            </w:r>
          </w:p>
        </w:tc>
        <w:tc>
          <w:tcPr/>
          <w:p>
            <w:pPr>
              <w:pStyle w:val="Compact"/>
              <w:jc w:val="left"/>
            </w:pPr>
            <w:r>
              <w:t xml:space="preserve">420.00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Autoclave Sterilization Pouches – 200mm x 300mm, 500-pack</w:t>
            </w:r>
          </w:p>
        </w:tc>
        <w:tc>
          <w:tcPr/>
          <w:p>
            <w:pPr>
              <w:pStyle w:val="Compact"/>
              <w:jc w:val="left"/>
            </w:pPr>
            <w:r>
              <w:t xml:space="preserve">12</w:t>
            </w:r>
          </w:p>
        </w:tc>
        <w:tc>
          <w:tcPr/>
          <w:p>
            <w:pPr>
              <w:pStyle w:val="Compact"/>
              <w:jc w:val="left"/>
            </w:pPr>
            <w:r>
              <w:t xml:space="preserve">packs</w:t>
            </w:r>
          </w:p>
        </w:tc>
        <w:tc>
          <w:tcPr/>
          <w:p>
            <w:pPr>
              <w:pStyle w:val="Compact"/>
              <w:jc w:val="left"/>
            </w:pPr>
            <w:r>
              <w:t xml:space="preserve">28.90</w:t>
            </w:r>
          </w:p>
        </w:tc>
        <w:tc>
          <w:tcPr/>
          <w:p>
            <w:pPr>
              <w:pStyle w:val="Compact"/>
              <w:jc w:val="left"/>
            </w:pPr>
            <w:r>
              <w:t xml:space="preserve">346.80</w:t>
            </w:r>
          </w:p>
        </w:tc>
      </w:tr>
      <w:tr>
        <w:tc>
          <w:tcPr/>
          <w:p>
            <w:pPr>
              <w:pStyle w:val="Compact"/>
              <w:jc w:val="left"/>
            </w:pPr>
            <w:r>
              <w:t xml:space="preserve">07</w:t>
            </w:r>
          </w:p>
        </w:tc>
        <w:tc>
          <w:tcPr/>
          <w:p>
            <w:pPr>
              <w:pStyle w:val="Compact"/>
              <w:jc w:val="left"/>
            </w:pPr>
            <w:r>
              <w:t xml:space="preserve">Local Anesthetic – Articaine 4% with Epinephrine, 1.8ml Cartridges</w:t>
            </w:r>
          </w:p>
        </w:tc>
        <w:tc>
          <w:tcPr/>
          <w:p>
            <w:pPr>
              <w:pStyle w:val="Compact"/>
              <w:jc w:val="left"/>
            </w:pPr>
            <w:r>
              <w:t xml:space="preserve">200</w:t>
            </w:r>
          </w:p>
        </w:tc>
        <w:tc>
          <w:tcPr/>
          <w:p>
            <w:pPr>
              <w:pStyle w:val="Compact"/>
              <w:jc w:val="left"/>
            </w:pPr>
            <w:r>
              <w:t xml:space="preserve">pcs</w:t>
            </w:r>
          </w:p>
        </w:tc>
        <w:tc>
          <w:tcPr/>
          <w:p>
            <w:pPr>
              <w:pStyle w:val="Compact"/>
              <w:jc w:val="left"/>
            </w:pPr>
            <w:r>
              <w:t xml:space="preserve">1.45</w:t>
            </w:r>
          </w:p>
        </w:tc>
        <w:tc>
          <w:tcPr/>
          <w:p>
            <w:pPr>
              <w:pStyle w:val="Compact"/>
              <w:jc w:val="left"/>
            </w:pPr>
            <w:r>
              <w:t xml:space="preserve">290.00</w:t>
            </w:r>
          </w:p>
        </w:tc>
      </w:tr>
      <w:tr>
        <w:tc>
          <w:tcPr/>
          <w:p>
            <w:pPr>
              <w:pStyle w:val="Compact"/>
              <w:jc w:val="left"/>
            </w:pPr>
            <w:r>
              <w:t xml:space="preserve">08</w:t>
            </w:r>
          </w:p>
        </w:tc>
        <w:tc>
          <w:tcPr/>
          <w:p>
            <w:pPr>
              <w:pStyle w:val="Compact"/>
              <w:jc w:val="left"/>
            </w:pPr>
            <w:r>
              <w:t xml:space="preserve">Dental Handpiece – Contra-Angle, High-Speed, with Turbine (for the Dentist operatory)</w:t>
            </w:r>
          </w:p>
        </w:tc>
        <w:tc>
          <w:tcPr/>
          <w:p>
            <w:pPr>
              <w:pStyle w:val="Compact"/>
              <w:jc w:val="left"/>
            </w:pPr>
            <w:r>
              <w:t xml:space="preserve">4</w:t>
            </w:r>
          </w:p>
        </w:tc>
        <w:tc>
          <w:tcPr/>
          <w:p>
            <w:pPr>
              <w:pStyle w:val="Compact"/>
              <w:jc w:val="left"/>
            </w:pPr>
            <w:r>
              <w:t xml:space="preserve">units</w:t>
            </w:r>
          </w:p>
        </w:tc>
        <w:tc>
          <w:tcPr/>
          <w:p>
            <w:pPr>
              <w:pStyle w:val="Compact"/>
              <w:jc w:val="left"/>
            </w:pPr>
            <w:r>
              <w:t xml:space="preserve">680.00</w:t>
            </w:r>
          </w:p>
        </w:tc>
        <w:tc>
          <w:tcPr/>
          <w:p>
            <w:pPr>
              <w:pStyle w:val="Compact"/>
              <w:jc w:val="left"/>
            </w:pPr>
            <w:r>
              <w:t xml:space="preserve">2,720.00</w:t>
            </w:r>
          </w:p>
        </w:tc>
      </w:tr>
      <w:tr>
        <w:tc>
          <w:tcPr/>
          <w:p>
            <w:pPr>
              <w:pStyle w:val="Compact"/>
              <w:jc w:val="left"/>
            </w:pPr>
            <w:r>
              <w:t xml:space="preserve">09</w:t>
            </w:r>
          </w:p>
        </w:tc>
        <w:tc>
          <w:tcPr/>
          <w:p>
            <w:pPr>
              <w:pStyle w:val="Compact"/>
              <w:jc w:val="left"/>
            </w:pPr>
            <w:r>
              <w:t xml:space="preserve">Impression Material – Polyvinyl Siloxane (PVS), Medium Viscosity, 100ml</w:t>
            </w:r>
          </w:p>
        </w:tc>
        <w:tc>
          <w:tcPr/>
          <w:p>
            <w:pPr>
              <w:pStyle w:val="Compact"/>
              <w:jc w:val="left"/>
            </w:pPr>
            <w:r>
              <w:t xml:space="preserve">30</w:t>
            </w:r>
          </w:p>
        </w:tc>
        <w:tc>
          <w:tcPr/>
          <w:p>
            <w:pPr>
              <w:pStyle w:val="Compact"/>
              <w:jc w:val="left"/>
            </w:pPr>
            <w:r>
              <w:t xml:space="preserve">pcs</w:t>
            </w:r>
          </w:p>
        </w:tc>
        <w:tc>
          <w:tcPr/>
          <w:p>
            <w:pPr>
              <w:pStyle w:val="Compact"/>
              <w:jc w:val="left"/>
            </w:pPr>
            <w:r>
              <w:t xml:space="preserve">22.75</w:t>
            </w:r>
          </w:p>
        </w:tc>
        <w:tc>
          <w:tcPr/>
          <w:p>
            <w:pPr>
              <w:pStyle w:val="Compact"/>
              <w:jc w:val="left"/>
            </w:pPr>
            <w:r>
              <w:t xml:space="preserve">682.50</w:t>
            </w:r>
          </w:p>
        </w:tc>
      </w:tr>
      <w:tr>
        <w:tc>
          <w:tcPr/>
          <w:p>
            <w:pPr>
              <w:pStyle w:val="Compact"/>
              <w:jc w:val="left"/>
            </w:pPr>
            <w:r>
              <w:t xml:space="preserve">10</w:t>
            </w:r>
          </w:p>
        </w:tc>
        <w:tc>
          <w:tcPr/>
          <w:p>
            <w:pPr>
              <w:pStyle w:val="Compact"/>
              <w:jc w:val="left"/>
            </w:pPr>
            <w:r>
              <w:t xml:space="preserve">Patient Information Brochures – German/English, Dental Care Guide (branded for Frankfurt practice)</w:t>
            </w:r>
          </w:p>
        </w:tc>
        <w:tc>
          <w:tcPr/>
          <w:p>
            <w:pPr>
              <w:pStyle w:val="Compact"/>
              <w:jc w:val="left"/>
            </w:pPr>
            <w:r>
              <w:t xml:space="preserve">500</w:t>
            </w:r>
          </w:p>
        </w:tc>
        <w:tc>
          <w:tcPr/>
          <w:p>
            <w:pPr>
              <w:pStyle w:val="Compact"/>
              <w:jc w:val="left"/>
            </w:pPr>
            <w:r>
              <w:t xml:space="preserve">pcs</w:t>
            </w:r>
          </w:p>
        </w:tc>
        <w:tc>
          <w:tcPr/>
          <w:p>
            <w:pPr>
              <w:pStyle w:val="Compact"/>
              <w:jc w:val="left"/>
            </w:pPr>
            <w:r>
              <w:t xml:space="preserve">0.85</w:t>
            </w:r>
          </w:p>
        </w:tc>
        <w:tc>
          <w:tcPr/>
          <w:p>
            <w:pPr>
              <w:pStyle w:val="Compact"/>
              <w:jc w:val="left"/>
            </w:pPr>
            <w:r>
              <w:t xml:space="preserve">425.00</w:t>
            </w:r>
          </w:p>
        </w:tc>
      </w:tr>
      <w:tr>
        <w:tc>
          <w:tcPr>
            <w:gridSpan w:val="5"/>
          </w:tcPr>
          <w:p>
            <w:pPr>
              <w:pStyle w:val="Compact"/>
              <w:jc w:val="right"/>
            </w:pPr>
            <w:r>
              <w:t xml:space="preserve">Subtotal:</w:t>
            </w:r>
          </w:p>
        </w:tc>
        <w:tc>
          <w:tcPr/>
          <w:p>
            <w:pPr>
              <w:pStyle w:val="Compact"/>
              <w:jc w:val="left"/>
            </w:pPr>
            <w:r>
              <w:t xml:space="preserve">14,353.90</w:t>
            </w:r>
          </w:p>
        </w:tc>
      </w:tr>
      <w:tr>
        <w:tc>
          <w:tcPr>
            <w:gridSpan w:val="5"/>
          </w:tcPr>
          <w:p>
            <w:pPr>
              <w:pStyle w:val="Compact"/>
              <w:jc w:val="right"/>
            </w:pPr>
            <w:r>
              <w:t xml:space="preserve">VAT (19% – Germany):</w:t>
            </w:r>
          </w:p>
        </w:tc>
        <w:tc>
          <w:tcPr/>
          <w:p>
            <w:pPr>
              <w:pStyle w:val="Compact"/>
              <w:jc w:val="left"/>
            </w:pPr>
            <w:r>
              <w:t xml:space="preserve">2,727.24</w:t>
            </w:r>
          </w:p>
        </w:tc>
      </w:tr>
      <w:tr>
        <w:tc>
          <w:tcPr>
            <w:gridSpan w:val="5"/>
          </w:tcPr>
          <w:p>
            <w:pPr>
              <w:pStyle w:val="Compact"/>
              <w:jc w:val="right"/>
            </w:pPr>
            <w:r>
              <w:t xml:space="preserve">Grand Total (EUR):</w:t>
            </w:r>
          </w:p>
        </w:tc>
        <w:tc>
          <w:tcPr/>
          <w:p>
            <w:pPr>
              <w:pStyle w:val="Compact"/>
              <w:jc w:val="left"/>
            </w:pPr>
            <w:r>
              <w:t xml:space="preserve">17,081.14</w:t>
            </w:r>
          </w:p>
        </w:tc>
      </w:tr>
    </w:tbl>
    <w:p>
      <w:pPr>
        <w:pStyle w:val="BodyText"/>
      </w:pPr>
      <w:r>
        <w:t xml:space="preserve">3. Delivery and Logistics</w:t>
      </w:r>
    </w:p>
    <w:p>
      <w:pPr>
        <w:pStyle w:val="BodyText"/>
      </w:pPr>
      <w:r>
        <w:t xml:space="preserve">All goods referenced in this</w:t>
      </w:r>
      <w:r>
        <w:t xml:space="preserve"> </w:t>
      </w:r>
      <w:r>
        <w:t xml:space="preserve">Purchase Order</w:t>
      </w:r>
      <w:r>
        <w:t xml:space="preserve"> </w:t>
      </w:r>
      <w:r>
        <w:t xml:space="preserve">shall be delivered to the</w:t>
      </w:r>
      <w:r>
        <w:t xml:space="preserve"> </w:t>
      </w:r>
      <w:r>
        <w:t xml:space="preserve">Dentist</w:t>
      </w:r>
      <w:r>
        <w:t xml:space="preserve"> </w:t>
      </w:r>
      <w:r>
        <w:t xml:space="preserve">practice premises at Goethestraße 42, 60311 Frankfurt am Main,</w:t>
      </w:r>
      <w:r>
        <w:t xml:space="preserve"> </w:t>
      </w:r>
      <w:r>
        <w:t xml:space="preserve">Germany</w:t>
      </w:r>
      <w:r>
        <w:t xml:space="preserve">. The supplier is required to ensure that all dental equipment and materials arrive in their original, unopened packaging. Delivery must be completed no later than 28 June 2025. The supplier shall provide a delivery note and a commercial invoice referencing this</w:t>
      </w:r>
      <w:r>
        <w:t xml:space="preserve"> </w:t>
      </w:r>
      <w:r>
        <w:t xml:space="preserve">Purchase Order</w:t>
      </w:r>
      <w:r>
        <w:t xml:space="preserve"> </w:t>
      </w:r>
      <w:r>
        <w:t xml:space="preserve">number (PO-2025-FRA-00847) at the time of delivery. Shipping costs are included in the unit prices listed above. In the event of partial delivery, the supplier must notify the</w:t>
      </w:r>
      <w:r>
        <w:t xml:space="preserve"> </w:t>
      </w:r>
      <w:r>
        <w:t xml:space="preserve">Dentist</w:t>
      </w:r>
      <w:r>
        <w:t xml:space="preserve"> </w:t>
      </w:r>
      <w:r>
        <w:t xml:space="preserve">practice in writing within 24 hours of the scheduled delivery date.</w:t>
      </w:r>
    </w:p>
    <w:p>
      <w:pPr>
        <w:pStyle w:val="BodyText"/>
      </w:pPr>
      <w:r>
        <w:t xml:space="preserve">4. Payment Terms</w:t>
      </w:r>
    </w:p>
    <w:p>
      <w:pPr>
        <w:pStyle w:val="BodyText"/>
      </w:pPr>
      <w:r>
        <w:t xml:space="preserve">Payment for this</w:t>
      </w:r>
      <w:r>
        <w:t xml:space="preserve"> </w:t>
      </w:r>
      <w:r>
        <w:t xml:space="preserve">Purchase Order</w:t>
      </w:r>
      <w:r>
        <w:t xml:space="preserve"> </w:t>
      </w:r>
      <w:r>
        <w:t xml:space="preserve">shall be made via bank transfer (SEPA) to the supplier's designated account within 30 days of the date of the commercial invoice. The</w:t>
      </w:r>
      <w:r>
        <w:t xml:space="preserve"> </w:t>
      </w:r>
      <w:r>
        <w:t xml:space="preserve">Dentist</w:t>
      </w:r>
      <w:r>
        <w:t xml:space="preserve"> </w:t>
      </w:r>
      <w:r>
        <w:t xml:space="preserve">practice in</w:t>
      </w:r>
      <w:r>
        <w:t xml:space="preserve"> </w:t>
      </w:r>
      <w:r>
        <w:t xml:space="preserve">Germany Frankfurt</w:t>
      </w:r>
      <w:r>
        <w:t xml:space="preserve"> </w:t>
      </w:r>
      <w:r>
        <w:t xml:space="preserve">shall remit payment to: DentalPro Europe GmbH, IBAN: DE44 5001 0517 5407 3249 01, BIC: PBNKDEFF. Late payments shall be subject to statutory interest as defined under Section 288 of the German Civil Code (BGB). The</w:t>
      </w:r>
      <w:r>
        <w:t xml:space="preserve"> </w:t>
      </w:r>
      <w:r>
        <w:t xml:space="preserve">Dentist</w:t>
      </w:r>
      <w:r>
        <w:t xml:space="preserve"> </w:t>
      </w:r>
      <w:r>
        <w:t xml:space="preserve">practice reserves the right to withhold payment for any items that do not conform to the specifications outlined in this</w:t>
      </w:r>
      <w:r>
        <w:t xml:space="preserve"> </w:t>
      </w:r>
      <w:r>
        <w:t xml:space="preserve">Purchase Order</w:t>
      </w:r>
      <w:r>
        <w:t xml:space="preserve">.</w:t>
      </w:r>
    </w:p>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is governed by the laws of the Federal Republic of</w:t>
      </w:r>
      <w:r>
        <w:t xml:space="preserve"> </w:t>
      </w:r>
      <w:r>
        <w:t xml:space="preserve">Germany</w:t>
      </w:r>
      <w:r>
        <w:t xml:space="preserve">. Any disputes arising from this</w:t>
      </w:r>
      <w:r>
        <w:t xml:space="preserve"> </w:t>
      </w:r>
      <w:r>
        <w:t xml:space="preserve">Purchase Order</w:t>
      </w:r>
      <w:r>
        <w:t xml:space="preserve"> </w:t>
      </w:r>
      <w:r>
        <w:t xml:space="preserve">shall be subject to the exclusive jurisdiction of the competent courts in Frankfurt am Main,</w:t>
      </w:r>
      <w:r>
        <w:t xml:space="preserve"> </w:t>
      </w:r>
      <w:r>
        <w:t xml:space="preserve">Germany</w:t>
      </w:r>
      <w:r>
        <w:t xml:space="preserve">.</w:t>
      </w:r>
    </w:p>
    <w:p>
      <w:pPr>
        <w:numPr>
          <w:ilvl w:val="0"/>
          <w:numId w:val="1001"/>
        </w:numPr>
        <w:pStyle w:val="Compact"/>
      </w:pPr>
      <w:r>
        <w:t xml:space="preserve">All dental products supplied under this</w:t>
      </w:r>
      <w:r>
        <w:t xml:space="preserve"> </w:t>
      </w:r>
      <w:r>
        <w:t xml:space="preserve">Purchase Order</w:t>
      </w:r>
      <w:r>
        <w:t xml:space="preserve"> </w:t>
      </w:r>
      <w:r>
        <w:t xml:space="preserve">must comply with the Medical Devices Regulation (EU) 2017/745 and carry valid CE marking. The supplier warrants that all items are new, unused, and within their stated shelf life.</w:t>
      </w:r>
    </w:p>
    <w:p>
      <w:pPr>
        <w:numPr>
          <w:ilvl w:val="0"/>
          <w:numId w:val="1001"/>
        </w:numPr>
        <w:pStyle w:val="Compact"/>
      </w:pPr>
      <w:r>
        <w:t xml:space="preserve">The</w:t>
      </w:r>
      <w:r>
        <w:t xml:space="preserve"> </w:t>
      </w:r>
      <w:r>
        <w:t xml:space="preserve">Dentist</w:t>
      </w:r>
      <w:r>
        <w:t xml:space="preserve"> </w:t>
      </w:r>
      <w:r>
        <w:t xml:space="preserve">practice in</w:t>
      </w:r>
      <w:r>
        <w:t xml:space="preserve"> </w:t>
      </w:r>
      <w:r>
        <w:t xml:space="preserve">Germany Frankfurt</w:t>
      </w:r>
      <w:r>
        <w:t xml:space="preserve"> </w:t>
      </w:r>
      <w:r>
        <w:t xml:space="preserve">reserves the right to inspect all delivered goods within five (5) business days of receipt. Any defects, shortages, or non-conformities must be reported to the supplier in writing within this period.</w:t>
      </w:r>
    </w:p>
    <w:p>
      <w:pPr>
        <w:numPr>
          <w:ilvl w:val="0"/>
          <w:numId w:val="1001"/>
        </w:numPr>
        <w:pStyle w:val="Compact"/>
      </w:pPr>
      <w:r>
        <w:t xml:space="preserve">The supplier shall provide a minimum warranty of two (2) years on all electronic and mechanical dental equipment (Items 04 and 08) and a minimum shelf life of twelve (12) months on all consumable materials at the time of delivery.</w:t>
      </w:r>
    </w:p>
    <w:p>
      <w:pPr>
        <w:numPr>
          <w:ilvl w:val="0"/>
          <w:numId w:val="1001"/>
        </w:numPr>
        <w:pStyle w:val="Compact"/>
      </w:pPr>
      <w:r>
        <w:t xml:space="preserve">This</w:t>
      </w:r>
      <w:r>
        <w:t xml:space="preserve"> </w:t>
      </w:r>
      <w:r>
        <w:t xml:space="preserve">Purchase Order</w:t>
      </w:r>
      <w:r>
        <w:t xml:space="preserve"> </w:t>
      </w:r>
      <w:r>
        <w:t xml:space="preserve">becomes binding upon written acceptance by both parties. No modifications to this</w:t>
      </w:r>
      <w:r>
        <w:t xml:space="preserve"> </w:t>
      </w:r>
      <w:r>
        <w:t xml:space="preserve">Purchase Order</w:t>
      </w:r>
      <w:r>
        <w:t xml:space="preserve"> </w:t>
      </w:r>
      <w:r>
        <w:t xml:space="preserve">shall be valid unless made in writing and signed by authorized representatives of both the</w:t>
      </w:r>
      <w:r>
        <w:t xml:space="preserve"> </w:t>
      </w:r>
      <w:r>
        <w:t xml:space="preserve">Dentist</w:t>
      </w:r>
      <w:r>
        <w:t xml:space="preserve"> </w:t>
      </w:r>
      <w:r>
        <w:t xml:space="preserve">practice and the supplier.</w:t>
      </w:r>
    </w:p>
    <w:p>
      <w:pPr>
        <w:numPr>
          <w:ilvl w:val="0"/>
          <w:numId w:val="1001"/>
        </w:numPr>
        <w:pStyle w:val="Compact"/>
      </w:pPr>
      <w:r>
        <w:t xml:space="preserve">The supplier acknowledges that the goods are intended for use in a professional</w:t>
      </w:r>
      <w:r>
        <w:t xml:space="preserve"> </w:t>
      </w:r>
      <w:r>
        <w:t xml:space="preserve">Dentist</w:t>
      </w:r>
      <w:r>
        <w:t xml:space="preserve"> </w:t>
      </w:r>
      <w:r>
        <w:t xml:space="preserve">practice serving patients in the</w:t>
      </w:r>
      <w:r>
        <w:t xml:space="preserve"> </w:t>
      </w:r>
      <w:r>
        <w:t xml:space="preserve">Germany Frankfurt</w:t>
      </w:r>
      <w:r>
        <w:t xml:space="preserve"> </w:t>
      </w:r>
      <w:r>
        <w:t xml:space="preserve">metropolitan area and shall ensure full compliance with all applicable German and EU health and safety regulations.</w:t>
      </w:r>
    </w:p>
    <w:p>
      <w:pPr>
        <w:numPr>
          <w:ilvl w:val="0"/>
          <w:numId w:val="1001"/>
        </w:numPr>
        <w:pStyle w:val="Compact"/>
      </w:pPr>
      <w:r>
        <w:t xml:space="preserve">Force majeure events, including but not limited to natural disasters, pandemics, or government-mandated closures in</w:t>
      </w:r>
      <w:r>
        <w:t xml:space="preserve"> </w:t>
      </w:r>
      <w:r>
        <w:t xml:space="preserve">Germany Frankfurt</w:t>
      </w:r>
      <w:r>
        <w:t xml:space="preserve">, may extend delivery deadlines by a reasonable period, provided the supplier notifies the</w:t>
      </w:r>
      <w:r>
        <w:t xml:space="preserve"> </w:t>
      </w:r>
      <w:r>
        <w:t xml:space="preserve">Dentist</w:t>
      </w:r>
      <w:r>
        <w:t xml:space="preserve"> </w:t>
      </w:r>
      <w:r>
        <w:t xml:space="preserve">practice in writing within 48 hours of the event.</w:t>
      </w:r>
    </w:p>
    <w:p>
      <w:pPr>
        <w:pStyle w:val="FirstParagraph"/>
      </w:pPr>
      <w:r>
        <w:t xml:space="preserve">6. Authorized Signatures</w:t>
      </w:r>
    </w:p>
    <w:p>
      <w:pPr>
        <w:pStyle w:val="BodyText"/>
      </w:pPr>
      <w:r>
        <w:rPr>
          <w:bCs/>
          <w:b/>
        </w:rPr>
        <w:t xml:space="preserve">For the Buyer (Dentist Practice):</w:t>
      </w:r>
    </w:p>
    <w:p>
      <w:pPr>
        <w:pStyle w:val="BodyText"/>
      </w:pPr>
      <w:r>
        <w:t xml:space="preserve">Dr. Michaela Schneider, DDS</w:t>
      </w:r>
    </w:p>
    <w:p>
      <w:pPr>
        <w:pStyle w:val="BodyText"/>
      </w:pPr>
      <w:r>
        <w:t xml:space="preserve">Practice Owner &amp; Lead Dentist</w:t>
      </w:r>
    </w:p>
    <w:p>
      <w:pPr>
        <w:pStyle w:val="BodyText"/>
      </w:pPr>
      <w:r>
        <w:t xml:space="preserve">Dr. Michaela Schneider Dental Practice</w:t>
      </w:r>
    </w:p>
    <w:p>
      <w:pPr>
        <w:pStyle w:val="BodyText"/>
      </w:pPr>
      <w:r>
        <w:t xml:space="preserve">Frankfurt am Main, Germany</w:t>
      </w:r>
    </w:p>
    <w:p>
      <w:pPr>
        <w:pStyle w:val="BodyText"/>
      </w:pPr>
      <w:r>
        <w:t xml:space="preserve">Signature &amp; Date</w:t>
      </w:r>
    </w:p>
    <w:p>
      <w:pPr>
        <w:pStyle w:val="BodyText"/>
      </w:pPr>
      <w:r>
        <w:rPr>
          <w:bCs/>
          <w:b/>
        </w:rPr>
        <w:t xml:space="preserve">For the Supplier (DentalPro Europe GmbH):</w:t>
      </w:r>
    </w:p>
    <w:p>
      <w:pPr>
        <w:pStyle w:val="BodyText"/>
      </w:pPr>
      <w:r>
        <w:t xml:space="preserve">Thomas Berger</w:t>
      </w:r>
    </w:p>
    <w:p>
      <w:pPr>
        <w:pStyle w:val="BodyText"/>
      </w:pPr>
      <w:r>
        <w:t xml:space="preserve">Regional Sales Director – Hesse</w:t>
      </w:r>
    </w:p>
    <w:p>
      <w:pPr>
        <w:pStyle w:val="BodyText"/>
      </w:pPr>
      <w:r>
        <w:t xml:space="preserve">DentalPro Europe GmbH</w:t>
      </w:r>
    </w:p>
    <w:p>
      <w:pPr>
        <w:pStyle w:val="BodyText"/>
      </w:pPr>
      <w:r>
        <w:t xml:space="preserve">Frankfurt, Germany</w:t>
      </w:r>
    </w:p>
    <w:p>
      <w:pPr>
        <w:pStyle w:val="BodyText"/>
      </w:pPr>
      <w:r>
        <w:t xml:space="preserve">Signature &amp; Date</w:t>
      </w:r>
    </w:p>
    <w:p>
      <w:pPr>
        <w:pStyle w:val="BodyText"/>
      </w:pPr>
      <w:r>
        <w:t xml:space="preserve">This Purchase Order (PO-2025-FRA-00847) was issued by Dr. Michaela Schneider Dental Practice, Frankfurt am Main, Germany. This document is valid for 60 days from the date of issue. For any inquiries regarding this Purchase Order, please contact the practice office at +49 69 1234 5678 or office@dr-schneider-dental.de. All dental products ordered under this Purchase Order are subject to the German Medical Devices Act (MPG) and applicable EU regulations. © 2025 Dr. Michaela Schneider Dental Practice, Frankfurt,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Frankfurt, Germany</dc:title>
  <dc:creator/>
  <dc:language>en</dc:language>
  <cp:keywords/>
  <dcterms:created xsi:type="dcterms:W3CDTF">2026-10-10T06:54:51Z</dcterms:created>
  <dcterms:modified xsi:type="dcterms:W3CDTF">2026-10-10T06:54:51Z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