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Nairobi</w:t>
      </w:r>
      <w:r>
        <w:t xml:space="preserve"> </w:t>
      </w:r>
      <w:r>
        <w:t xml:space="preserve">Dental</w:t>
      </w:r>
      <w:r>
        <w:t xml:space="preserve"> </w:t>
      </w:r>
      <w:r>
        <w:t xml:space="preserve">Clinic</w:t>
      </w:r>
    </w:p>
    <w:bookmarkStart w:id="20" w:name="purchase-order"/>
    <w:p>
      <w:pPr>
        <w:pStyle w:val="Heading1"/>
      </w:pPr>
      <w:r>
        <w:t xml:space="preserve">PURCHASE ORDER</w:t>
      </w:r>
    </w:p>
    <w:p>
      <w:pPr>
        <w:pStyle w:val="FirstParagraph"/>
      </w:pPr>
      <w:r>
        <w:rPr>
          <w:bCs/>
          <w:b/>
        </w:rPr>
        <w:t xml:space="preserve">Nairobi Dental &amp; Orthodontic Centre</w:t>
      </w:r>
    </w:p>
    <w:p>
      <w:pPr>
        <w:pStyle w:val="BodyText"/>
      </w:pPr>
      <w:r>
        <w:t xml:space="preserve">42 Kimathi Street, Westlands, Nairobi, Kenya</w:t>
      </w:r>
    </w:p>
    <w:p>
      <w:pPr>
        <w:pStyle w:val="BodyText"/>
      </w:pPr>
      <w:r>
        <w:t xml:space="preserve">Tel: +254 722 456 789 | Email: procurement@nairobidentalcentre.co.ke</w:t>
      </w:r>
    </w:p>
    <w:p>
      <w:pPr>
        <w:pStyle w:val="BodyText"/>
      </w:pPr>
      <w:r>
        <w:t xml:space="preserve">Physical Therapy Practitioner License No. KMDA/2019/00482 | PRA License: PRA/2020/117</w:t>
      </w:r>
    </w:p>
    <w:p>
      <w:pPr>
        <w:pStyle w:val="BodyText"/>
      </w:pPr>
      <w:r>
        <w:t xml:space="preserve">PO No: NDC-PO-2025-0347</w:t>
      </w:r>
      <w:r>
        <w:t xml:space="preserve"> </w:t>
      </w:r>
      <w:r>
        <w:t xml:space="preserve"> </w:t>
      </w:r>
      <w:r>
        <w:t xml:space="preserve"> </w:t>
      </w:r>
      <w:r>
        <w:t xml:space="preserve">Date: 14 June 2025</w:t>
      </w:r>
    </w:p>
    <w:bookmarkEnd w:id="20"/>
    <w:bookmarkStart w:id="21" w:name="supplier-details"/>
    <w:p>
      <w:pPr>
        <w:pStyle w:val="Heading3"/>
      </w:pPr>
      <w:r>
        <w:t xml:space="preserve">Supplier Details</w:t>
      </w:r>
    </w:p>
    <w:p>
      <w:pPr>
        <w:pStyle w:val="FirstParagraph"/>
      </w:pPr>
      <w:r>
        <w:rPr>
          <w:bCs/>
          <w:b/>
        </w:rPr>
        <w:t xml:space="preserve">MediDent Kenya Supplies Ltd.</w:t>
      </w:r>
    </w:p>
    <w:p>
      <w:pPr>
        <w:pStyle w:val="BodyText"/>
      </w:pPr>
      <w:r>
        <w:t xml:space="preserve">Industrial Area, Mombasa Road, Nairobi, Kenya</w:t>
      </w:r>
    </w:p>
    <w:p>
      <w:pPr>
        <w:pStyle w:val="BodyText"/>
      </w:pPr>
      <w:r>
        <w:t xml:space="preserve">Tel: +254 733 891 234</w:t>
      </w:r>
    </w:p>
    <w:p>
      <w:pPr>
        <w:pStyle w:val="BodyText"/>
      </w:pPr>
      <w:r>
        <w:t xml:space="preserve">Email: sales@medidentkenya.co.ke</w:t>
      </w:r>
    </w:p>
    <w:p>
      <w:pPr>
        <w:pStyle w:val="BodyText"/>
      </w:pPr>
      <w:r>
        <w:t xml:space="preserve">KRA PIN: P051234567X</w:t>
      </w:r>
    </w:p>
    <w:p>
      <w:pPr>
        <w:pStyle w:val="BodyText"/>
      </w:pPr>
      <w:r>
        <w:t xml:space="preserve">Supplier Ref: MKS-2025-8821</w:t>
      </w:r>
    </w:p>
    <w:bookmarkEnd w:id="21"/>
    <w:bookmarkStart w:id="22" w:name="order-details"/>
    <w:p>
      <w:pPr>
        <w:pStyle w:val="Heading3"/>
      </w:pPr>
      <w:r>
        <w:t xml:space="preserve">Order Details</w:t>
      </w:r>
    </w:p>
    <w:p>
      <w:pPr>
        <w:pStyle w:val="FirstParagraph"/>
      </w:pPr>
      <w:r>
        <w:rPr>
          <w:bCs/>
          <w:b/>
        </w:rPr>
        <w:t xml:space="preserve">Delivery Address:</w:t>
      </w:r>
    </w:p>
    <w:p>
      <w:pPr>
        <w:pStyle w:val="BodyText"/>
      </w:pPr>
      <w:r>
        <w:t xml:space="preserve">Nairobi Dental &amp; Orthodontic Centre</w:t>
      </w:r>
    </w:p>
    <w:p>
      <w:pPr>
        <w:pStyle w:val="BodyText"/>
      </w:pPr>
      <w:r>
        <w:t xml:space="preserve">42 Kimathi Street, Westlands</w:t>
      </w:r>
    </w:p>
    <w:p>
      <w:pPr>
        <w:pStyle w:val="BodyText"/>
      </w:pPr>
      <w:r>
        <w:t xml:space="preserve">Nairobi, Kenya</w:t>
      </w:r>
    </w:p>
    <w:p>
      <w:pPr>
        <w:pStyle w:val="BodyText"/>
      </w:pPr>
      <w:r>
        <w:rPr>
          <w:bCs/>
          <w:b/>
        </w:rPr>
        <w:t xml:space="preserve">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Nairobi</w:t>
      </w:r>
    </w:p>
    <w:bookmarkEnd w:id="22"/>
    <w:bookmarkStart w:id="24" w:name="line-items-dental-equipment-consumables"/>
    <w:p>
      <w:pPr>
        <w:pStyle w:val="Heading2"/>
      </w:pPr>
      <w:r>
        <w:t xml:space="preserve">Line Items – Dental Equipment &amp; Consumables</w:t>
      </w:r>
    </w:p>
    <w:p>
      <w:pPr>
        <w:pStyle w:val="FirstParagraph"/>
      </w:pPr>
      <w:r>
        <w:t xml:space="preserve">The following items are ordered by the Nairobi Dental &amp; Orthodontic Centre for use in the daily operations of our licensed dentist and clinical team. All products must comply with the Kenya Bureau of Standards (KEBS) regulations and the Pharmacy and Poisons Board (PPB) guidelines for medical devices in Kenya.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Dental Composite Resin Kit (A1–A4 shades), 20g syringes</w:t>
            </w:r>
          </w:p>
        </w:tc>
        <w:tc>
          <w:tcPr/>
          <w:p>
            <w:pPr>
              <w:pStyle w:val="Compact"/>
              <w:jc w:val="left"/>
            </w:pPr>
            <w:r>
              <w:t xml:space="preserve">DCR-2025-A4</w:t>
            </w:r>
          </w:p>
        </w:tc>
        <w:tc>
          <w:tcPr/>
          <w:p>
            <w:pPr>
              <w:pStyle w:val="Compact"/>
              <w:jc w:val="left"/>
            </w:pPr>
            <w:r>
              <w:t xml:space="preserve">24</w:t>
            </w:r>
          </w:p>
        </w:tc>
        <w:tc>
          <w:tcPr/>
          <w:p>
            <w:pPr>
              <w:pStyle w:val="Compact"/>
              <w:jc w:val="left"/>
            </w:pPr>
            <w:r>
              <w:t xml:space="preserve">4,850.00</w:t>
            </w:r>
          </w:p>
        </w:tc>
        <w:tc>
          <w:tcPr/>
          <w:p>
            <w:pPr>
              <w:pStyle w:val="Compact"/>
              <w:jc w:val="left"/>
            </w:pPr>
            <w:r>
              <w:t xml:space="preserve">116,400.00</w:t>
            </w:r>
          </w:p>
        </w:tc>
        <w:tc>
          <w:tcPr/>
          <w:p>
            <w:pPr>
              <w:pStyle w:val="Compact"/>
              <w:jc w:val="left"/>
            </w:pPr>
            <w:r>
              <w:t xml:space="preserve">For restorative procedures</w:t>
            </w:r>
          </w:p>
        </w:tc>
      </w:tr>
      <w:tr>
        <w:tc>
          <w:tcPr/>
          <w:p>
            <w:pPr>
              <w:pStyle w:val="Compact"/>
              <w:jc w:val="left"/>
            </w:pPr>
            <w:r>
              <w:t xml:space="preserve">2</w:t>
            </w:r>
          </w:p>
        </w:tc>
        <w:tc>
          <w:tcPr/>
          <w:p>
            <w:pPr>
              <w:pStyle w:val="Compact"/>
              <w:jc w:val="left"/>
            </w:pPr>
            <w:r>
              <w:t xml:space="preserve">Autoclave Sterilizer, 24L Class B, CE &amp; KEBS certified</w:t>
            </w:r>
          </w:p>
        </w:tc>
        <w:tc>
          <w:tcPr/>
          <w:p>
            <w:pPr>
              <w:pStyle w:val="Compact"/>
              <w:jc w:val="left"/>
            </w:pPr>
            <w:r>
              <w:t xml:space="preserve">AST-24L-BK</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Installation included</w:t>
            </w:r>
          </w:p>
        </w:tc>
      </w:tr>
      <w:tr>
        <w:tc>
          <w:tcPr/>
          <w:p>
            <w:pPr>
              <w:pStyle w:val="Compact"/>
              <w:jc w:val="left"/>
            </w:pPr>
            <w:r>
              <w:t xml:space="preserve">3</w:t>
            </w:r>
          </w:p>
        </w:tc>
        <w:tc>
          <w:tcPr/>
          <w:p>
            <w:pPr>
              <w:pStyle w:val="Compact"/>
              <w:jc w:val="left"/>
            </w:pPr>
            <w:r>
              <w:t xml:space="preserve">Dental Handpieces, High-Speed Turbine (40,000 RPM)</w:t>
            </w:r>
          </w:p>
        </w:tc>
        <w:tc>
          <w:tcPr/>
          <w:p>
            <w:pPr>
              <w:pStyle w:val="Compact"/>
              <w:jc w:val="left"/>
            </w:pPr>
            <w:r>
              <w:t xml:space="preserve">DHP-HS-40K</w:t>
            </w:r>
          </w:p>
        </w:tc>
        <w:tc>
          <w:tcPr/>
          <w:p>
            <w:pPr>
              <w:pStyle w:val="Compact"/>
              <w:jc w:val="left"/>
            </w:pPr>
            <w:r>
              <w:t xml:space="preserve">4</w:t>
            </w:r>
          </w:p>
        </w:tc>
        <w:tc>
          <w:tcPr/>
          <w:p>
            <w:pPr>
              <w:pStyle w:val="Compact"/>
              <w:jc w:val="left"/>
            </w:pPr>
            <w:r>
              <w:t xml:space="preserve">32,500.00</w:t>
            </w:r>
          </w:p>
        </w:tc>
        <w:tc>
          <w:tcPr/>
          <w:p>
            <w:pPr>
              <w:pStyle w:val="Compact"/>
              <w:jc w:val="left"/>
            </w:pPr>
            <w:r>
              <w:t xml:space="preserve">130,000.00</w:t>
            </w:r>
          </w:p>
        </w:tc>
        <w:tc>
          <w:tcPr/>
          <w:p>
            <w:pPr>
              <w:pStyle w:val="Compact"/>
              <w:jc w:val="left"/>
            </w:pPr>
            <w:r>
              <w:t xml:space="preserve">For dentist operatory</w:t>
            </w:r>
          </w:p>
        </w:tc>
      </w:tr>
      <w:tr>
        <w:tc>
          <w:tcPr/>
          <w:p>
            <w:pPr>
              <w:pStyle w:val="Compact"/>
              <w:jc w:val="left"/>
            </w:pPr>
            <w:r>
              <w:t xml:space="preserve">4</w:t>
            </w:r>
          </w:p>
        </w:tc>
        <w:tc>
          <w:tcPr/>
          <w:p>
            <w:pPr>
              <w:pStyle w:val="Compact"/>
              <w:jc w:val="left"/>
            </w:pPr>
            <w:r>
              <w:t xml:space="preserve">Nitrile Examination Gloves, Size M, Box of 100</w:t>
            </w:r>
          </w:p>
        </w:tc>
        <w:tc>
          <w:tcPr/>
          <w:p>
            <w:pPr>
              <w:pStyle w:val="Compact"/>
              <w:jc w:val="left"/>
            </w:pPr>
            <w:r>
              <w:t xml:space="preserve">NG-M-100</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c>
          <w:tcPr/>
          <w:p>
            <w:pPr>
              <w:pStyle w:val="Compact"/>
              <w:jc w:val="left"/>
            </w:pPr>
            <w:r>
              <w:t xml:space="preserve">PPE for clinical staff</w:t>
            </w:r>
          </w:p>
        </w:tc>
      </w:tr>
      <w:tr>
        <w:tc>
          <w:tcPr/>
          <w:p>
            <w:pPr>
              <w:pStyle w:val="Compact"/>
              <w:jc w:val="left"/>
            </w:pPr>
            <w:r>
              <w:t xml:space="preserve">5</w:t>
            </w:r>
          </w:p>
        </w:tc>
        <w:tc>
          <w:tcPr/>
          <w:p>
            <w:pPr>
              <w:pStyle w:val="Compact"/>
              <w:jc w:val="left"/>
            </w:pPr>
            <w:r>
              <w:t xml:space="preserve">Dental X-Ray Film, Size 2, 100 sheets per pack</w:t>
            </w:r>
          </w:p>
        </w:tc>
        <w:tc>
          <w:tcPr/>
          <w:p>
            <w:pPr>
              <w:pStyle w:val="Compact"/>
              <w:jc w:val="left"/>
            </w:pPr>
            <w:r>
              <w:t xml:space="preserve">DXF-S2-100</w:t>
            </w:r>
          </w:p>
        </w:tc>
        <w:tc>
          <w:tcPr/>
          <w:p>
            <w:pPr>
              <w:pStyle w:val="Compact"/>
              <w:jc w:val="left"/>
            </w:pPr>
            <w:r>
              <w:t xml:space="preserve">10</w:t>
            </w:r>
          </w:p>
        </w:tc>
        <w:tc>
          <w:tcPr/>
          <w:p>
            <w:pPr>
              <w:pStyle w:val="Compact"/>
              <w:jc w:val="left"/>
            </w:pPr>
            <w:r>
              <w:t xml:space="preserve">3,400.00</w:t>
            </w:r>
          </w:p>
        </w:tc>
        <w:tc>
          <w:tcPr/>
          <w:p>
            <w:pPr>
              <w:pStyle w:val="Compact"/>
              <w:jc w:val="left"/>
            </w:pPr>
            <w:r>
              <w:t xml:space="preserve">34,000.00</w:t>
            </w:r>
          </w:p>
        </w:tc>
        <w:tc>
          <w:tcPr/>
          <w:p>
            <w:pPr>
              <w:pStyle w:val="Compact"/>
              <w:jc w:val="left"/>
            </w:pPr>
            <w:r>
              <w:t xml:space="preserve">Radiology department</w:t>
            </w:r>
          </w:p>
        </w:tc>
      </w:tr>
      <w:tr>
        <w:tc>
          <w:tcPr/>
          <w:p>
            <w:pPr>
              <w:pStyle w:val="Compact"/>
              <w:jc w:val="left"/>
            </w:pPr>
            <w:r>
              <w:t xml:space="preserve">6</w:t>
            </w:r>
          </w:p>
        </w:tc>
        <w:tc>
          <w:tcPr/>
          <w:p>
            <w:pPr>
              <w:pStyle w:val="Compact"/>
              <w:jc w:val="left"/>
            </w:pPr>
            <w:r>
              <w:t xml:space="preserve">Local Anaesthetic – Articaine 4% with Epinephrine, 1.8ml carpules</w:t>
            </w:r>
          </w:p>
        </w:tc>
        <w:tc>
          <w:tcPr/>
          <w:p>
            <w:pPr>
              <w:pStyle w:val="Compact"/>
              <w:jc w:val="left"/>
            </w:pPr>
            <w:r>
              <w:t xml:space="preserve">LA-ART-4-18</w:t>
            </w:r>
          </w:p>
        </w:tc>
        <w:tc>
          <w:tcPr/>
          <w:p>
            <w:pPr>
              <w:pStyle w:val="Compact"/>
              <w:jc w:val="left"/>
            </w:pPr>
            <w:r>
              <w:t xml:space="preserve">200</w:t>
            </w:r>
          </w:p>
        </w:tc>
        <w:tc>
          <w:tcPr/>
          <w:p>
            <w:pPr>
              <w:pStyle w:val="Compact"/>
              <w:jc w:val="left"/>
            </w:pPr>
            <w:r>
              <w:t xml:space="preserve">380.00</w:t>
            </w:r>
          </w:p>
        </w:tc>
        <w:tc>
          <w:tcPr/>
          <w:p>
            <w:pPr>
              <w:pStyle w:val="Compact"/>
              <w:jc w:val="left"/>
            </w:pPr>
            <w:r>
              <w:t xml:space="preserve">76,000.00</w:t>
            </w:r>
          </w:p>
        </w:tc>
        <w:tc>
          <w:tcPr/>
          <w:p>
            <w:pPr>
              <w:pStyle w:val="Compact"/>
              <w:jc w:val="left"/>
            </w:pPr>
            <w:r>
              <w:t xml:space="preserve">PPB registered product</w:t>
            </w:r>
          </w:p>
        </w:tc>
      </w:tr>
      <w:tr>
        <w:tc>
          <w:tcPr/>
          <w:p>
            <w:pPr>
              <w:pStyle w:val="Compact"/>
              <w:jc w:val="left"/>
            </w:pPr>
            <w:r>
              <w:t xml:space="preserve">7</w:t>
            </w:r>
          </w:p>
        </w:tc>
        <w:tc>
          <w:tcPr/>
          <w:p>
            <w:pPr>
              <w:pStyle w:val="Compact"/>
              <w:jc w:val="left"/>
            </w:pPr>
            <w:r>
              <w:t xml:space="preserve">Dental Burs, Carbide, Fine-Grain, Assorted (50 pcs/box)</w:t>
            </w:r>
          </w:p>
        </w:tc>
        <w:tc>
          <w:tcPr/>
          <w:p>
            <w:pPr>
              <w:pStyle w:val="Compact"/>
              <w:jc w:val="left"/>
            </w:pPr>
            <w:r>
              <w:t xml:space="preserve">DB-CB-FG-50</w:t>
            </w:r>
          </w:p>
        </w:tc>
        <w:tc>
          <w:tcPr/>
          <w:p>
            <w:pPr>
              <w:pStyle w:val="Compact"/>
              <w:jc w:val="left"/>
            </w:pPr>
            <w:r>
              <w:t xml:space="preserve">6</w:t>
            </w:r>
          </w:p>
        </w:tc>
        <w:tc>
          <w:tcPr/>
          <w:p>
            <w:pPr>
              <w:pStyle w:val="Compact"/>
              <w:jc w:val="left"/>
            </w:pPr>
            <w:r>
              <w:t xml:space="preserve">8,900.00</w:t>
            </w:r>
          </w:p>
        </w:tc>
        <w:tc>
          <w:tcPr/>
          <w:p>
            <w:pPr>
              <w:pStyle w:val="Compact"/>
              <w:jc w:val="left"/>
            </w:pPr>
            <w:r>
              <w:t xml:space="preserve">53,400.00</w:t>
            </w:r>
          </w:p>
        </w:tc>
        <w:tc>
          <w:tcPr/>
          <w:p>
            <w:pPr>
              <w:pStyle w:val="Compact"/>
              <w:jc w:val="left"/>
            </w:pPr>
            <w:r>
              <w:t xml:space="preserve">For prophylaxis &amp; prep</w:t>
            </w:r>
          </w:p>
        </w:tc>
      </w:tr>
      <w:tr>
        <w:tc>
          <w:tcPr/>
          <w:p>
            <w:pPr>
              <w:pStyle w:val="Compact"/>
              <w:jc w:val="left"/>
            </w:pPr>
            <w:r>
              <w:t xml:space="preserve">8</w:t>
            </w:r>
          </w:p>
        </w:tc>
        <w:tc>
          <w:tcPr/>
          <w:p>
            <w:pPr>
              <w:pStyle w:val="Compact"/>
              <w:jc w:val="left"/>
            </w:pPr>
            <w:r>
              <w:t xml:space="preserve">Impression Material, Polyvinyl Siloxane (PVS), Medium Viscosity</w:t>
            </w:r>
          </w:p>
        </w:tc>
        <w:tc>
          <w:tcPr/>
          <w:p>
            <w:pPr>
              <w:pStyle w:val="Compact"/>
              <w:jc w:val="left"/>
            </w:pPr>
            <w:r>
              <w:t xml:space="preserve">IMP-PVS-MV</w:t>
            </w:r>
          </w:p>
        </w:tc>
        <w:tc>
          <w:tcPr/>
          <w:p>
            <w:pPr>
              <w:pStyle w:val="Compact"/>
              <w:jc w:val="left"/>
            </w:pPr>
            <w:r>
              <w:t xml:space="preserve">30</w:t>
            </w:r>
          </w:p>
        </w:tc>
        <w:tc>
          <w:tcPr/>
          <w:p>
            <w:pPr>
              <w:pStyle w:val="Compact"/>
              <w:jc w:val="left"/>
            </w:pPr>
            <w:r>
              <w:t xml:space="preserve">2,150.00</w:t>
            </w:r>
          </w:p>
        </w:tc>
        <w:tc>
          <w:tcPr/>
          <w:p>
            <w:pPr>
              <w:pStyle w:val="Compact"/>
              <w:jc w:val="left"/>
            </w:pPr>
            <w:r>
              <w:t xml:space="preserve">64,500.00</w:t>
            </w:r>
          </w:p>
        </w:tc>
        <w:tc>
          <w:tcPr/>
          <w:p>
            <w:pPr>
              <w:pStyle w:val="Compact"/>
              <w:jc w:val="left"/>
            </w:pPr>
            <w:r>
              <w:t xml:space="preserve">For prosthodontics</w:t>
            </w:r>
          </w:p>
        </w:tc>
      </w:tr>
      <w:tr>
        <w:tc>
          <w:tcPr/>
          <w:p>
            <w:pPr>
              <w:pStyle w:val="Compact"/>
              <w:jc w:val="left"/>
            </w:pPr>
            <w:r>
              <w:t xml:space="preserve">9</w:t>
            </w:r>
          </w:p>
        </w:tc>
        <w:tc>
          <w:tcPr/>
          <w:p>
            <w:pPr>
              <w:pStyle w:val="Compact"/>
              <w:jc w:val="left"/>
            </w:pPr>
            <w:r>
              <w:t xml:space="preserve">Dental Chair Unit, 5-Way, with Built-in Suction &amp; Light</w:t>
            </w:r>
          </w:p>
        </w:tc>
        <w:tc>
          <w:tcPr/>
          <w:p>
            <w:pPr>
              <w:pStyle w:val="Compact"/>
              <w:jc w:val="left"/>
            </w:pPr>
            <w:r>
              <w:t xml:space="preserve">DCU-5W-PRO</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New operatory setup</w:t>
            </w:r>
          </w:p>
        </w:tc>
      </w:tr>
      <w:tr>
        <w:tc>
          <w:tcPr/>
          <w:p>
            <w:pPr>
              <w:pStyle w:val="Compact"/>
              <w:jc w:val="left"/>
            </w:pPr>
            <w:r>
              <w:t xml:space="preserve">10</w:t>
            </w:r>
          </w:p>
        </w:tc>
        <w:tc>
          <w:tcPr/>
          <w:p>
            <w:pPr>
              <w:pStyle w:val="Compact"/>
              <w:jc w:val="left"/>
            </w:pPr>
            <w:r>
              <w:t xml:space="preserve">Sodium Hypochlorite 5.25%, 1L bottles (Endodontic irrigant)</w:t>
            </w:r>
          </w:p>
        </w:tc>
        <w:tc>
          <w:tcPr/>
          <w:p>
            <w:pPr>
              <w:pStyle w:val="Compact"/>
              <w:jc w:val="left"/>
            </w:pPr>
            <w:r>
              <w:t xml:space="preserve">SH-525-1L</w:t>
            </w:r>
          </w:p>
        </w:tc>
        <w:tc>
          <w:tcPr/>
          <w:p>
            <w:pPr>
              <w:pStyle w:val="Compact"/>
              <w:jc w:val="left"/>
            </w:pPr>
            <w:r>
              <w:t xml:space="preserve">40</w:t>
            </w:r>
          </w:p>
        </w:tc>
        <w:tc>
          <w:tcPr/>
          <w:p>
            <w:pPr>
              <w:pStyle w:val="Compact"/>
              <w:jc w:val="left"/>
            </w:pPr>
            <w:r>
              <w:t xml:space="preserve">950.00</w:t>
            </w:r>
          </w:p>
        </w:tc>
        <w:tc>
          <w:tcPr/>
          <w:p>
            <w:pPr>
              <w:pStyle w:val="Compact"/>
              <w:jc w:val="left"/>
            </w:pPr>
            <w:r>
              <w:t xml:space="preserve">38,000.00</w:t>
            </w:r>
          </w:p>
        </w:tc>
        <w:tc>
          <w:tcPr/>
          <w:p>
            <w:pPr>
              <w:pStyle w:val="Compact"/>
              <w:jc w:val="left"/>
            </w:pPr>
            <w:r>
              <w:t xml:space="preserve">Root canal procedures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right"/>
            </w:pPr>
            <w:r>
              <w:t xml:space="preserve">1,177,300.00</w:t>
            </w:r>
          </w:p>
        </w:tc>
      </w:tr>
      <w:tr>
        <w:tc>
          <w:tcPr/>
          <w:p>
            <w:pPr>
              <w:pStyle w:val="Compact"/>
              <w:jc w:val="left"/>
            </w:pPr>
            <w:r>
              <w:t xml:space="preserve">VAT @ 16% (KES)</w:t>
            </w:r>
          </w:p>
        </w:tc>
        <w:tc>
          <w:tcPr/>
          <w:p>
            <w:pPr>
              <w:pStyle w:val="Compact"/>
              <w:jc w:val="right"/>
            </w:pPr>
            <w:r>
              <w:t xml:space="preserve">188,368.00</w:t>
            </w:r>
          </w:p>
        </w:tc>
      </w:tr>
      <w:tr>
        <w:tc>
          <w:tcPr/>
          <w:p>
            <w:pPr>
              <w:pStyle w:val="Compact"/>
              <w:jc w:val="left"/>
            </w:pPr>
            <w:r>
              <w:t xml:space="preserve">Delivery &amp; Installation (KES)</w:t>
            </w:r>
          </w:p>
        </w:tc>
        <w:tc>
          <w:tcPr/>
          <w:p>
            <w:pPr>
              <w:pStyle w:val="Compact"/>
              <w:jc w:val="right"/>
            </w:pPr>
            <w:r>
              <w:t xml:space="preserve">15,000.00</w:t>
            </w:r>
          </w:p>
        </w:tc>
      </w:tr>
      <w:tr>
        <w:tc>
          <w:tcPr/>
          <w:p>
            <w:pPr>
              <w:pStyle w:val="Compact"/>
              <w:jc w:val="left"/>
            </w:pPr>
            <w:r>
              <w:t xml:space="preserve">Grand Total (KES)</w:t>
            </w:r>
          </w:p>
        </w:tc>
        <w:tc>
          <w:tcPr/>
          <w:p>
            <w:pPr>
              <w:pStyle w:val="Compact"/>
              <w:jc w:val="right"/>
            </w:pPr>
            <w:r>
              <w:t xml:space="preserve">1,380,668.00</w:t>
            </w:r>
          </w:p>
        </w:tc>
      </w:tr>
    </w:tbl>
    <w:bookmarkStart w:id="23" w:name="X621e24ac62c1ab424be95c13027e1055c0c87b9"/>
    <w:p>
      <w:pPr>
        <w:pStyle w:val="Heading3"/>
      </w:pPr>
      <w:r>
        <w:t xml:space="preserve">Terms &amp; Conditions – Purchase Order NDC-PO-2025-0347</w:t>
      </w:r>
    </w:p>
    <w:p>
      <w:pPr>
        <w:numPr>
          <w:ilvl w:val="0"/>
          <w:numId w:val="1001"/>
        </w:numPr>
        <w:pStyle w:val="Compact"/>
      </w:pPr>
      <w:r>
        <w:t xml:space="preserve">This Purchase Order is issued by the Nairobi Dental &amp; Orthodontic Centre, a registered dental practice operating under the Kenya Medical Practitioners and Dentists Council (KMPDC) in Nairobi, Kenya. All goods ordered herein are intended for use by our licensed dentist and supporting clinical personnel in the provision of dental care services to patients in the Nairobi metropolitan area.</w:t>
      </w:r>
    </w:p>
    <w:p>
      <w:pPr>
        <w:numPr>
          <w:ilvl w:val="0"/>
          <w:numId w:val="1001"/>
        </w:numPr>
        <w:pStyle w:val="Compact"/>
      </w:pPr>
      <w:r>
        <w:t xml:space="preserve">The supplier, MediDent Kenya Supplies Ltd., shall deliver all items listed above to the delivery address in Nairobi, Kenya, no later than 28 June 2025. Late delivery shall attract a penalty of 1% of the total order value per day of delay, capped at 10%.</w:t>
      </w:r>
    </w:p>
    <w:p>
      <w:pPr>
        <w:numPr>
          <w:ilvl w:val="0"/>
          <w:numId w:val="1001"/>
        </w:numPr>
        <w:pStyle w:val="Compact"/>
      </w:pPr>
      <w:r>
        <w:t xml:space="preserve">All dental equipment and pharmaceutical products must carry valid KEBS certification and, where applicable, Pharmacy and Poisons Board (PPB) registration numbers. The supplier shall provide certificates of conformity and batch/lot numbers for all items upon delivery.</w:t>
      </w:r>
    </w:p>
    <w:p>
      <w:pPr>
        <w:numPr>
          <w:ilvl w:val="0"/>
          <w:numId w:val="1001"/>
        </w:numPr>
        <w:pStyle w:val="Compact"/>
      </w:pPr>
      <w:r>
        <w:t xml:space="preserve">Payment shall be made via bank transfer to the supplier's designated account within thirty (30) calendar days of receipt of a valid tax invoice and confirmed delivery. The supplier's KRA PIN must be included on all invoices for compliance with the Kenya Revenue Authority (KRA) eTIMS system.</w:t>
      </w:r>
    </w:p>
    <w:p>
      <w:pPr>
        <w:numPr>
          <w:ilvl w:val="0"/>
          <w:numId w:val="1001"/>
        </w:numPr>
        <w:pStyle w:val="Compact"/>
      </w:pPr>
      <w:r>
        <w:t xml:space="preserve">The Nairobi Dental &amp; Orthodontic Centre reserves the right to inspect all delivered goods within five (5) business days. Any items found to be defective, expired, or non-conforming to the specifications stated in this Purchase Order shall be returned at the supplier's cost and replaced within ten (10) business days.</w:t>
      </w:r>
    </w:p>
    <w:p>
      <w:pPr>
        <w:numPr>
          <w:ilvl w:val="0"/>
          <w:numId w:val="1001"/>
        </w:numPr>
        <w:pStyle w:val="Compact"/>
      </w:pPr>
      <w:r>
        <w:t xml:space="preserve">Warranty: All capital equipment (autoclave, dental chair unit, handpieces) carries a minimum two-year manufacturer's warranty. The supplier shall coordinate warranty claims and provide local technical support in Nairobi, Kenya, for the duration of the warranty period.</w:t>
      </w:r>
    </w:p>
    <w:p>
      <w:pPr>
        <w:numPr>
          <w:ilvl w:val="0"/>
          <w:numId w:val="1001"/>
        </w:numPr>
        <w:pStyle w:val="Compact"/>
      </w:pPr>
      <w:r>
        <w:t xml:space="preserve">This Purchase Order is governed by the laws of the Republic of Kenya. Any disputes arising from this order shall be subject to the exclusive jurisdiction of the courts of Nairobi, Kenya.</w:t>
      </w:r>
    </w:p>
    <w:p>
      <w:pPr>
        <w:numPr>
          <w:ilvl w:val="0"/>
          <w:numId w:val="1001"/>
        </w:numPr>
        <w:pStyle w:val="Compact"/>
      </w:pPr>
      <w:r>
        <w:t xml:space="preserve">The supplier acknowledges that the goods ordered are for professional dental use by a registered dentist in Kenya and shall not be resold or diverted. The supplier shall maintain records of this transaction in accordance with Kenyan tax and trade regulations.</w:t>
      </w:r>
    </w:p>
    <w:p>
      <w:pPr>
        <w:numPr>
          <w:ilvl w:val="0"/>
          <w:numId w:val="1001"/>
        </w:numPr>
        <w:pStyle w:val="Compact"/>
      </w:pPr>
      <w:r>
        <w:t xml:space="preserve">Any amendments to this Purchase Order must be made in writing and signed by both parties. Verbal modifications are not binding.</w:t>
      </w:r>
    </w:p>
    <w:bookmarkEnd w:id="23"/>
    <w:p>
      <w:pPr>
        <w:pStyle w:val="FirstParagraph"/>
      </w:pPr>
      <w:r>
        <w:rPr>
          <w:bCs/>
          <w:b/>
        </w:rPr>
        <w:t xml:space="preserve">Prepared By (Buyer):</w:t>
      </w:r>
    </w:p>
    <w:p>
      <w:pPr>
        <w:pStyle w:val="BodyText"/>
      </w:pPr>
      <w:r>
        <w:rPr>
          <w:bCs/>
          <w:b/>
        </w:rPr>
        <w:t xml:space="preserve">Dr. Wanjiku M. Kamau, BDS, MDS</w:t>
      </w:r>
      <w:r>
        <w:br/>
      </w:r>
      <w:r>
        <w:t xml:space="preserve">Lead Dentist &amp; Practice Manager</w:t>
      </w:r>
      <w:r>
        <w:br/>
      </w:r>
      <w:r>
        <w:t xml:space="preserve">Nairobi Dental &amp; Orthodontic Centre</w:t>
      </w:r>
      <w:r>
        <w:br/>
      </w:r>
      <w:r>
        <w:t xml:space="preserve">KMPDC License No. KMDA/2019/00482</w:t>
      </w:r>
      <w:r>
        <w:br/>
      </w:r>
      <w:r>
        <w:t xml:space="preserve">Date: _______________</w:t>
      </w:r>
    </w:p>
    <w:p>
      <w:pPr>
        <w:pStyle w:val="BodyText"/>
      </w:pPr>
      <w:r>
        <w:rPr>
          <w:bCs/>
          <w:b/>
        </w:rPr>
        <w:t xml:space="preserve">Accepted By (Supplier):</w:t>
      </w:r>
    </w:p>
    <w:p>
      <w:pPr>
        <w:pStyle w:val="BodyText"/>
      </w:pPr>
      <w:r>
        <w:rPr>
          <w:bCs/>
          <w:b/>
        </w:rPr>
        <w:t xml:space="preserve">Mr. James Ochieng'</w:t>
      </w:r>
      <w:r>
        <w:br/>
      </w:r>
      <w:r>
        <w:t xml:space="preserve">Sales Director</w:t>
      </w:r>
      <w:r>
        <w:br/>
      </w:r>
      <w:r>
        <w:t xml:space="preserve">MediDent Kenya Supplies Ltd.</w:t>
      </w:r>
      <w:r>
        <w:br/>
      </w:r>
      <w:r>
        <w:t xml:space="preserve">KRA PIN: P051234567X</w:t>
      </w:r>
      <w:r>
        <w:br/>
      </w:r>
      <w:r>
        <w:t xml:space="preserve">Date: _______________</w:t>
      </w:r>
    </w:p>
    <w:p>
      <w:pPr>
        <w:pStyle w:val="BodyText"/>
      </w:pPr>
      <w:r>
        <w:t xml:space="preserve">This Purchase Order document was generated by the Nairobi Dental &amp; Orthodontic Centre, Nairobi, Kenya. Document Ref: NDC-PO-2025-0347. For queries, contact the procurement department at procurement@nairobidentalcentre.co.ke or call +254 722 456 789. This document is valid for 60 days from the date of issue. All prices are quoted in Kenyan Shillings (KES) and are inclusive of applicable taxes as stated.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Nairobi Dental Clinic</dc:title>
  <dc:creator/>
  <dc:language>en</dc:language>
  <cp:keywords/>
  <dcterms:created xsi:type="dcterms:W3CDTF">2026-10-10T07:21:06Z</dcterms:created>
  <dcterms:modified xsi:type="dcterms:W3CDTF">2026-10-10T07:21:06Z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