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Istanbul,</w:t>
      </w:r>
      <w:r>
        <w:t xml:space="preserve"> </w:t>
      </w:r>
      <w:r>
        <w:t xml:space="preserve">Turkey</w:t>
      </w:r>
    </w:p>
    <w:bookmarkStart w:id="20" w:name="purchase-order"/>
    <w:p>
      <w:pPr>
        <w:pStyle w:val="Heading1"/>
      </w:pPr>
      <w:r>
        <w:t xml:space="preserve">PURCHASE ORDER</w:t>
      </w:r>
    </w:p>
    <w:p>
      <w:pPr>
        <w:pStyle w:val="FirstParagraph"/>
      </w:pPr>
      <w:r>
        <w:t xml:space="preserve">Dental Equipment &amp; Supplies Procurement — Istanbul, Turkey</w:t>
      </w:r>
    </w:p>
    <w:p>
      <w:pPr>
        <w:pStyle w:val="BodyText"/>
      </w:pPr>
      <w:r>
        <w:t xml:space="preserve">Document Reference: PO-IST-DENT-2025-00472</w:t>
      </w:r>
    </w:p>
    <w:bookmarkEnd w:id="20"/>
    <w:p>
      <w:pPr>
        <w:pStyle w:val="BodyText"/>
      </w:pPr>
      <w:r>
        <w:rPr>
          <w:bCs/>
          <w:b/>
        </w:rPr>
        <w:t xml:space="preserve">Purchase Order No.:</w:t>
      </w:r>
      <w:r>
        <w:t xml:space="preserve"> </w:t>
      </w:r>
      <w:r>
        <w:t xml:space="preserve">PO-IST-DENT-2025-00472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 / EUR</w:t>
      </w:r>
      <w:r>
        <w:br/>
      </w:r>
      <w:r>
        <w:rPr>
          <w:bCs/>
          <w:b/>
        </w:rPr>
        <w:t xml:space="preserve">Incoterms:</w:t>
      </w:r>
      <w:r>
        <w:t xml:space="preserve"> </w:t>
      </w:r>
      <w:r>
        <w:t xml:space="preserve">DDP Istanbul</w:t>
      </w:r>
    </w:p>
    <w:p>
      <w:pPr>
        <w:pStyle w:val="BodyText"/>
      </w:pPr>
      <w:r>
        <w:t xml:space="preserve">BUYER INFORMATION (Dental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Meridyen Dental Clinic A.S. (Meridyen Diş Kliniği)</w:t>
            </w:r>
          </w:p>
        </w:tc>
      </w:tr>
      <w:tr>
        <w:tc>
          <w:tcPr/>
          <w:p>
            <w:pPr>
              <w:pStyle w:val="Compact"/>
              <w:jc w:val="left"/>
            </w:pPr>
            <w:r>
              <w:rPr>
                <w:bCs/>
                <w:b/>
              </w:rPr>
              <w:t xml:space="preserve">Address:</w:t>
            </w:r>
          </w:p>
        </w:tc>
        <w:tc>
          <w:tcPr/>
          <w:p>
            <w:pPr>
              <w:pStyle w:val="Compact"/>
              <w:jc w:val="left"/>
            </w:pPr>
            <w:r>
              <w:t xml:space="preserve">İstiklal Caddesi No. 214, Beyoğlu, 34430 Istanbul, Turkey</w:t>
            </w:r>
          </w:p>
        </w:tc>
      </w:tr>
      <w:tr>
        <w:tc>
          <w:tcPr/>
          <w:p>
            <w:pPr>
              <w:pStyle w:val="Compact"/>
              <w:jc w:val="left"/>
            </w:pPr>
            <w:r>
              <w:rPr>
                <w:bCs/>
                <w:b/>
              </w:rPr>
              <w:t xml:space="preserve">Tax ID (VKN):</w:t>
            </w:r>
          </w:p>
        </w:tc>
        <w:tc>
          <w:tcPr/>
          <w:p>
            <w:pPr>
              <w:pStyle w:val="Compact"/>
              <w:jc w:val="left"/>
            </w:pPr>
            <w:r>
              <w:t xml:space="preserve">1234567890</w:t>
            </w:r>
          </w:p>
        </w:tc>
      </w:tr>
      <w:tr>
        <w:tc>
          <w:tcPr/>
          <w:p>
            <w:pPr>
              <w:pStyle w:val="Compact"/>
              <w:jc w:val="left"/>
            </w:pPr>
            <w:r>
              <w:rPr>
                <w:bCs/>
                <w:b/>
              </w:rPr>
              <w:t xml:space="preserve">Contact Person:</w:t>
            </w:r>
          </w:p>
        </w:tc>
        <w:tc>
          <w:tcPr/>
          <w:p>
            <w:pPr>
              <w:pStyle w:val="Compact"/>
              <w:jc w:val="left"/>
            </w:pPr>
            <w:r>
              <w:t xml:space="preserve">Dr. Elif Yılmaz, Chief Dentist &amp; Practice Manager</w:t>
            </w:r>
          </w:p>
        </w:tc>
      </w:tr>
      <w:tr>
        <w:tc>
          <w:tcPr/>
          <w:p>
            <w:pPr>
              <w:pStyle w:val="Compact"/>
              <w:jc w:val="left"/>
            </w:pPr>
            <w:r>
              <w:rPr>
                <w:bCs/>
                <w:b/>
              </w:rPr>
              <w:t xml:space="preserve">Email / Phone:</w:t>
            </w:r>
          </w:p>
        </w:tc>
        <w:tc>
          <w:tcPr/>
          <w:p>
            <w:pPr>
              <w:pStyle w:val="Compact"/>
              <w:jc w:val="left"/>
            </w:pPr>
            <w:r>
              <w:t xml:space="preserve">procurement@meridyendental.com.tr / +90 212 555 0147</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MedDent Europe GmbH, Dental Distribution Division</w:t>
            </w:r>
          </w:p>
        </w:tc>
      </w:tr>
      <w:tr>
        <w:tc>
          <w:tcPr/>
          <w:p>
            <w:pPr>
              <w:pStyle w:val="Compact"/>
              <w:jc w:val="left"/>
            </w:pPr>
            <w:r>
              <w:rPr>
                <w:bCs/>
                <w:b/>
              </w:rPr>
              <w:t xml:space="preserve">Address:</w:t>
            </w:r>
          </w:p>
        </w:tc>
        <w:tc>
          <w:tcPr/>
          <w:p>
            <w:pPr>
              <w:pStyle w:val="Compact"/>
              <w:jc w:val="left"/>
            </w:pPr>
            <w:r>
              <w:t xml:space="preserve">Industriestraße 42, 80331 Munich, Germany</w:t>
            </w:r>
          </w:p>
        </w:tc>
      </w:tr>
      <w:tr>
        <w:tc>
          <w:tcPr/>
          <w:p>
            <w:pPr>
              <w:pStyle w:val="Compact"/>
              <w:jc w:val="left"/>
            </w:pPr>
            <w:r>
              <w:rPr>
                <w:bCs/>
                <w:b/>
              </w:rPr>
              <w:t xml:space="preserve">VAT ID:</w:t>
            </w:r>
          </w:p>
        </w:tc>
        <w:tc>
          <w:tcPr/>
          <w:p>
            <w:pPr>
              <w:pStyle w:val="Compact"/>
              <w:jc w:val="left"/>
            </w:pPr>
            <w:r>
              <w:t xml:space="preserve">DE 123 456 789</w:t>
            </w:r>
          </w:p>
        </w:tc>
      </w:tr>
      <w:tr>
        <w:tc>
          <w:tcPr/>
          <w:p>
            <w:pPr>
              <w:pStyle w:val="Compact"/>
              <w:jc w:val="left"/>
            </w:pPr>
            <w:r>
              <w:rPr>
                <w:bCs/>
                <w:b/>
              </w:rPr>
              <w:t xml:space="preserve">Contact Person:</w:t>
            </w:r>
          </w:p>
        </w:tc>
        <w:tc>
          <w:tcPr/>
          <w:p>
            <w:pPr>
              <w:pStyle w:val="Compact"/>
              <w:jc w:val="left"/>
            </w:pPr>
            <w:r>
              <w:t xml:space="preserve">Mr. Thomas Berger, Regional Sales Director – Turkey &amp; Middle East</w:t>
            </w:r>
          </w:p>
        </w:tc>
      </w:tr>
      <w:tr>
        <w:tc>
          <w:tcPr/>
          <w:p>
            <w:pPr>
              <w:pStyle w:val="Compact"/>
              <w:jc w:val="left"/>
            </w:pPr>
            <w:r>
              <w:rPr>
                <w:bCs/>
                <w:b/>
              </w:rPr>
              <w:t xml:space="preserve">Email / Phone:</w:t>
            </w:r>
          </w:p>
        </w:tc>
        <w:tc>
          <w:tcPr/>
          <w:p>
            <w:pPr>
              <w:pStyle w:val="Compact"/>
              <w:jc w:val="left"/>
            </w:pPr>
            <w:r>
              <w:t xml:space="preserve">t.berger@meddent-europe.de / +49 89 7744 2210</w:t>
            </w:r>
          </w:p>
        </w:tc>
      </w:tr>
    </w:tbl>
    <w:p>
      <w:pPr>
        <w:pStyle w:val="BodyText"/>
      </w:pPr>
      <w:r>
        <w:t xml:space="preserve">PURCHASE ORDER LINE ITEMS – DENTAL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Dental Chair Unit, 5-Position, with Integrated Suction &amp; Light (for new Istanbul clinic expansion)</w:t>
            </w:r>
          </w:p>
        </w:tc>
        <w:tc>
          <w:tcPr/>
          <w:p>
            <w:pPr>
              <w:pStyle w:val="Compact"/>
              <w:jc w:val="left"/>
            </w:pPr>
            <w:r>
              <w:t xml:space="preserve">MD-CH-5020</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Beyoğlu, Istanbul</w:t>
            </w:r>
          </w:p>
        </w:tc>
      </w:tr>
      <w:tr>
        <w:tc>
          <w:tcPr/>
          <w:p>
            <w:pPr>
              <w:pStyle w:val="Compact"/>
              <w:jc w:val="left"/>
            </w:pPr>
            <w:r>
              <w:t xml:space="preserve">2</w:t>
            </w:r>
          </w:p>
        </w:tc>
        <w:tc>
          <w:tcPr/>
          <w:p>
            <w:pPr>
              <w:pStyle w:val="Compact"/>
              <w:jc w:val="left"/>
            </w:pPr>
            <w:r>
              <w:t xml:space="preserve">Digital Intraoral X-Ray Sensor (CCD, 2.0 MP) – CE &amp; TSE Certified</w:t>
            </w:r>
          </w:p>
        </w:tc>
        <w:tc>
          <w:tcPr/>
          <w:p>
            <w:pPr>
              <w:pStyle w:val="Compact"/>
              <w:jc w:val="left"/>
            </w:pPr>
            <w:r>
              <w:t xml:space="preserve">MD-XR-201</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Beyoğlu, Istanbul</w:t>
            </w:r>
          </w:p>
        </w:tc>
      </w:tr>
      <w:tr>
        <w:tc>
          <w:tcPr/>
          <w:p>
            <w:pPr>
              <w:pStyle w:val="Compact"/>
              <w:jc w:val="left"/>
            </w:pPr>
            <w:r>
              <w:t xml:space="preserve">3</w:t>
            </w:r>
          </w:p>
        </w:tc>
        <w:tc>
          <w:tcPr/>
          <w:p>
            <w:pPr>
              <w:pStyle w:val="Compact"/>
              <w:jc w:val="left"/>
            </w:pPr>
            <w:r>
              <w:t xml:space="preserve">Dental Handpiece, High-Speed Turbine (40,000 RPM), Autoclavable</w:t>
            </w:r>
          </w:p>
        </w:tc>
        <w:tc>
          <w:tcPr/>
          <w:p>
            <w:pPr>
              <w:pStyle w:val="Compact"/>
              <w:jc w:val="left"/>
            </w:pPr>
            <w:r>
              <w:t xml:space="preserve">MD-HP-400</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c>
          <w:tcPr/>
          <w:p>
            <w:pPr>
              <w:pStyle w:val="Compact"/>
              <w:jc w:val="left"/>
            </w:pPr>
            <w:r>
              <w:t xml:space="preserve">Beyoğlu, Istanbul</w:t>
            </w:r>
          </w:p>
        </w:tc>
      </w:tr>
      <w:tr>
        <w:tc>
          <w:tcPr/>
          <w:p>
            <w:pPr>
              <w:pStyle w:val="Compact"/>
              <w:jc w:val="left"/>
            </w:pPr>
            <w:r>
              <w:t xml:space="preserve">4</w:t>
            </w:r>
          </w:p>
        </w:tc>
        <w:tc>
          <w:tcPr/>
          <w:p>
            <w:pPr>
              <w:pStyle w:val="Compact"/>
              <w:jc w:val="left"/>
            </w:pPr>
            <w:r>
              <w:t xml:space="preserve">Composite Resin Kit, Universal Shade (A1–A4, B1–B4), 10 g syringes</w:t>
            </w:r>
          </w:p>
        </w:tc>
        <w:tc>
          <w:tcPr/>
          <w:p>
            <w:pPr>
              <w:pStyle w:val="Compact"/>
              <w:jc w:val="left"/>
            </w:pPr>
            <w:r>
              <w:t xml:space="preserve">MD-CR-UNV</w:t>
            </w:r>
          </w:p>
        </w:tc>
        <w:tc>
          <w:tcPr/>
          <w:p>
            <w:pPr>
              <w:pStyle w:val="Compact"/>
              <w:jc w:val="left"/>
            </w:pPr>
            <w:r>
              <w:t xml:space="preserve">50</w:t>
            </w:r>
          </w:p>
        </w:tc>
        <w:tc>
          <w:tcPr/>
          <w:p>
            <w:pPr>
              <w:pStyle w:val="Compact"/>
              <w:jc w:val="left"/>
            </w:pPr>
            <w:r>
              <w:t xml:space="preserve">38.50</w:t>
            </w:r>
          </w:p>
        </w:tc>
        <w:tc>
          <w:tcPr/>
          <w:p>
            <w:pPr>
              <w:pStyle w:val="Compact"/>
              <w:jc w:val="left"/>
            </w:pPr>
            <w:r>
              <w:t xml:space="preserve">1,925.00</w:t>
            </w:r>
          </w:p>
        </w:tc>
        <w:tc>
          <w:tcPr/>
          <w:p>
            <w:pPr>
              <w:pStyle w:val="Compact"/>
              <w:jc w:val="left"/>
            </w:pPr>
            <w:r>
              <w:t xml:space="preserve">Beyoğlu, Istanbul</w:t>
            </w:r>
          </w:p>
        </w:tc>
      </w:tr>
      <w:tr>
        <w:tc>
          <w:tcPr/>
          <w:p>
            <w:pPr>
              <w:pStyle w:val="Compact"/>
              <w:jc w:val="left"/>
            </w:pPr>
            <w:r>
              <w:t xml:space="preserve">5</w:t>
            </w:r>
          </w:p>
        </w:tc>
        <w:tc>
          <w:tcPr/>
          <w:p>
            <w:pPr>
              <w:pStyle w:val="Compact"/>
              <w:jc w:val="left"/>
            </w:pPr>
            <w:r>
              <w:t xml:space="preserve">Dental Implant System, Titanium Grade 5, 3.5 mm × 10 mm, with Abutments</w:t>
            </w:r>
          </w:p>
        </w:tc>
        <w:tc>
          <w:tcPr/>
          <w:p>
            <w:pPr>
              <w:pStyle w:val="Compact"/>
              <w:jc w:val="left"/>
            </w:pPr>
            <w:r>
              <w:t xml:space="preserve">MD-IM-3510</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12,600.00</w:t>
            </w:r>
          </w:p>
        </w:tc>
        <w:tc>
          <w:tcPr/>
          <w:p>
            <w:pPr>
              <w:pStyle w:val="Compact"/>
              <w:jc w:val="left"/>
            </w:pPr>
            <w:r>
              <w:t xml:space="preserve">Beyoğlu, Istanbul</w:t>
            </w:r>
          </w:p>
        </w:tc>
      </w:tr>
      <w:tr>
        <w:tc>
          <w:tcPr/>
          <w:p>
            <w:pPr>
              <w:pStyle w:val="Compact"/>
              <w:jc w:val="left"/>
            </w:pPr>
            <w:r>
              <w:t xml:space="preserve">6</w:t>
            </w:r>
          </w:p>
        </w:tc>
        <w:tc>
          <w:tcPr/>
          <w:p>
            <w:pPr>
              <w:pStyle w:val="Compact"/>
              <w:jc w:val="left"/>
            </w:pPr>
            <w:r>
              <w:t xml:space="preserve">Autoclave, Class B, 24 L Chamber, with Printout Function (for sterilization of dental instruments)</w:t>
            </w:r>
          </w:p>
        </w:tc>
        <w:tc>
          <w:tcPr/>
          <w:p>
            <w:pPr>
              <w:pStyle w:val="Compact"/>
              <w:jc w:val="left"/>
            </w:pPr>
            <w:r>
              <w:t xml:space="preserve">MD-AC-24B</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Beyoğlu, Istanbul</w:t>
            </w:r>
          </w:p>
        </w:tc>
      </w:tr>
      <w:tr>
        <w:tc>
          <w:tcPr/>
          <w:p>
            <w:pPr>
              <w:pStyle w:val="Compact"/>
              <w:jc w:val="left"/>
            </w:pPr>
            <w:r>
              <w:t xml:space="preserve">7</w:t>
            </w:r>
          </w:p>
        </w:tc>
        <w:tc>
          <w:tcPr/>
          <w:p>
            <w:pPr>
              <w:pStyle w:val="Compact"/>
              <w:jc w:val="left"/>
            </w:pPr>
            <w:r>
              <w:t xml:space="preserve">Dental Prophylaxis Paste &amp; Prophy Cups (Assorted Colors), 12-month supply</w:t>
            </w:r>
          </w:p>
        </w:tc>
        <w:tc>
          <w:tcPr/>
          <w:p>
            <w:pPr>
              <w:pStyle w:val="Compact"/>
              <w:jc w:val="left"/>
            </w:pPr>
            <w:r>
              <w:t xml:space="preserve">MD-PP-12M</w:t>
            </w:r>
          </w:p>
        </w:tc>
        <w:tc>
          <w:tcPr/>
          <w:p>
            <w:pPr>
              <w:pStyle w:val="Compact"/>
              <w:jc w:val="left"/>
            </w:pPr>
            <w:r>
              <w:t xml:space="preserve">200</w:t>
            </w:r>
          </w:p>
        </w:tc>
        <w:tc>
          <w:tcPr/>
          <w:p>
            <w:pPr>
              <w:pStyle w:val="Compact"/>
              <w:jc w:val="left"/>
            </w:pPr>
            <w:r>
              <w:t xml:space="preserve">2.10</w:t>
            </w:r>
          </w:p>
        </w:tc>
        <w:tc>
          <w:tcPr/>
          <w:p>
            <w:pPr>
              <w:pStyle w:val="Compact"/>
              <w:jc w:val="left"/>
            </w:pPr>
            <w:r>
              <w:t xml:space="preserve">420.00</w:t>
            </w:r>
          </w:p>
        </w:tc>
        <w:tc>
          <w:tcPr/>
          <w:p>
            <w:pPr>
              <w:pStyle w:val="Compact"/>
              <w:jc w:val="left"/>
            </w:pPr>
            <w:r>
              <w:t xml:space="preserve">Beyoğlu, Istanbul</w:t>
            </w:r>
          </w:p>
        </w:tc>
      </w:tr>
      <w:tr>
        <w:tc>
          <w:tcPr/>
          <w:p>
            <w:pPr>
              <w:pStyle w:val="Compact"/>
              <w:jc w:val="left"/>
            </w:pPr>
            <w:r>
              <w:t xml:space="preserve">8</w:t>
            </w:r>
          </w:p>
        </w:tc>
        <w:tc>
          <w:tcPr/>
          <w:p>
            <w:pPr>
              <w:pStyle w:val="Compact"/>
              <w:jc w:val="left"/>
            </w:pPr>
            <w:r>
              <w:t xml:space="preserve">LED Curing Light, 1000 mW/cm², with 4 Tips (for composite bonding procedures)</w:t>
            </w:r>
          </w:p>
        </w:tc>
        <w:tc>
          <w:tcPr/>
          <w:p>
            <w:pPr>
              <w:pStyle w:val="Compact"/>
              <w:jc w:val="left"/>
            </w:pPr>
            <w:r>
              <w:t xml:space="preserve">MD-CL-1000</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c>
          <w:tcPr/>
          <w:p>
            <w:pPr>
              <w:pStyle w:val="Compact"/>
              <w:jc w:val="left"/>
            </w:pPr>
            <w:r>
              <w:t xml:space="preserve">Beyoğlu, Istanbul</w:t>
            </w:r>
          </w:p>
        </w:tc>
      </w:tr>
      <w:tr>
        <w:tc>
          <w:tcPr/>
          <w:p>
            <w:pPr>
              <w:pStyle w:val="Compact"/>
              <w:jc w:val="left"/>
            </w:pPr>
            <w:r>
              <w:t xml:space="preserve">9</w:t>
            </w:r>
          </w:p>
        </w:tc>
        <w:tc>
          <w:tcPr/>
          <w:p>
            <w:pPr>
              <w:pStyle w:val="Compact"/>
              <w:jc w:val="left"/>
            </w:pPr>
            <w:r>
              <w:t xml:space="preserve">Dental Dam Sheets, 16×16 cm, Size 0, Box of 100</w:t>
            </w:r>
          </w:p>
        </w:tc>
        <w:tc>
          <w:tcPr/>
          <w:p>
            <w:pPr>
              <w:pStyle w:val="Compact"/>
              <w:jc w:val="left"/>
            </w:pPr>
            <w:r>
              <w:t xml:space="preserve">MD-DD-160</w:t>
            </w:r>
          </w:p>
        </w:tc>
        <w:tc>
          <w:tcPr/>
          <w:p>
            <w:pPr>
              <w:pStyle w:val="Compact"/>
              <w:jc w:val="left"/>
            </w:pPr>
            <w:r>
              <w:t xml:space="preserve">40</w:t>
            </w:r>
          </w:p>
        </w:tc>
        <w:tc>
          <w:tcPr/>
          <w:p>
            <w:pPr>
              <w:pStyle w:val="Compact"/>
              <w:jc w:val="left"/>
            </w:pPr>
            <w:r>
              <w:t xml:space="preserve">14.00</w:t>
            </w:r>
          </w:p>
        </w:tc>
        <w:tc>
          <w:tcPr/>
          <w:p>
            <w:pPr>
              <w:pStyle w:val="Compact"/>
              <w:jc w:val="left"/>
            </w:pPr>
            <w:r>
              <w:t xml:space="preserve">560.00</w:t>
            </w:r>
          </w:p>
        </w:tc>
        <w:tc>
          <w:tcPr/>
          <w:p>
            <w:pPr>
              <w:pStyle w:val="Compact"/>
              <w:jc w:val="left"/>
            </w:pPr>
            <w:r>
              <w:t xml:space="preserve">Beyoğlu, Istanbul</w:t>
            </w:r>
          </w:p>
        </w:tc>
      </w:tr>
      <w:tr>
        <w:tc>
          <w:tcPr/>
          <w:p>
            <w:pPr>
              <w:pStyle w:val="Compact"/>
              <w:jc w:val="left"/>
            </w:pPr>
            <w:r>
              <w:t xml:space="preserve">10</w:t>
            </w:r>
          </w:p>
        </w:tc>
        <w:tc>
          <w:tcPr/>
          <w:p>
            <w:pPr>
              <w:pStyle w:val="Compact"/>
              <w:jc w:val="left"/>
            </w:pPr>
            <w:r>
              <w:t xml:space="preserve">Patient Dental Records Software License (3-year), with Cloud Backup &amp; Turkish Data Protection (KVKK) Compliance</w:t>
            </w:r>
          </w:p>
        </w:tc>
        <w:tc>
          <w:tcPr/>
          <w:p>
            <w:pPr>
              <w:pStyle w:val="Compact"/>
              <w:jc w:val="left"/>
            </w:pPr>
            <w:r>
              <w:t xml:space="preserve">MD-SW-KVKK</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Digital Delivery</w:t>
            </w:r>
          </w:p>
        </w:tc>
      </w:tr>
      <w:tr>
        <w:tc>
          <w:tcPr>
            <w:gridSpan w:val="5"/>
          </w:tcPr>
          <w:p>
            <w:pPr>
              <w:pStyle w:val="Compact"/>
              <w:jc w:val="right"/>
            </w:pPr>
            <w:r>
              <w:t xml:space="preserve">SUBTOTAL</w:t>
            </w:r>
          </w:p>
        </w:tc>
        <w:tc>
          <w:tcPr/>
          <w:p>
            <w:pPr>
              <w:pStyle w:val="Compact"/>
              <w:jc w:val="left"/>
            </w:pPr>
            <w:r>
              <w:t xml:space="preserve">87,565.00</w:t>
            </w:r>
          </w:p>
        </w:tc>
        <w:tc>
          <w:tcPr/>
          <w:p>
            <w:pPr>
              <w:pStyle w:val="Compact"/>
            </w:pPr>
          </w:p>
        </w:tc>
      </w:tr>
      <w:tr>
        <w:tc>
          <w:tcPr>
            <w:gridSpan w:val="5"/>
          </w:tcPr>
          <w:p>
            <w:pPr>
              <w:pStyle w:val="Compact"/>
              <w:jc w:val="right"/>
            </w:pPr>
            <w:r>
              <w:t xml:space="preserve">VAT (20% – Turkey Domestic)</w:t>
            </w:r>
          </w:p>
        </w:tc>
        <w:tc>
          <w:tcPr/>
          <w:p>
            <w:pPr>
              <w:pStyle w:val="Compact"/>
              <w:jc w:val="left"/>
            </w:pPr>
            <w:r>
              <w:t xml:space="preserve">17,513.00</w:t>
            </w:r>
          </w:p>
        </w:tc>
        <w:tc>
          <w:tcPr/>
          <w:p>
            <w:pPr>
              <w:pStyle w:val="Compact"/>
            </w:pPr>
          </w:p>
        </w:tc>
      </w:tr>
      <w:tr>
        <w:tc>
          <w:tcPr>
            <w:gridSpan w:val="5"/>
          </w:tcPr>
          <w:p>
            <w:pPr>
              <w:pStyle w:val="Compact"/>
              <w:jc w:val="right"/>
            </w:pPr>
            <w:r>
              <w:t xml:space="preserve">FREIGHT &amp; INSURANCE (DDP Istanbul)</w:t>
            </w:r>
          </w:p>
        </w:tc>
        <w:tc>
          <w:tcPr/>
          <w:p>
            <w:pPr>
              <w:pStyle w:val="Compact"/>
              <w:jc w:val="left"/>
            </w:pPr>
            <w:r>
              <w:t xml:space="preserve">2,340.00</w:t>
            </w:r>
          </w:p>
        </w:tc>
        <w:tc>
          <w:tcPr/>
          <w:p>
            <w:pPr>
              <w:pStyle w:val="Compact"/>
            </w:pPr>
          </w:p>
        </w:tc>
      </w:tr>
      <w:tr>
        <w:tc>
          <w:tcPr>
            <w:gridSpan w:val="5"/>
          </w:tcPr>
          <w:p>
            <w:pPr>
              <w:pStyle w:val="Compact"/>
              <w:jc w:val="right"/>
            </w:pPr>
            <w:r>
              <w:t xml:space="preserve">GRAND TOTAL (EUR)</w:t>
            </w:r>
          </w:p>
        </w:tc>
        <w:tc>
          <w:tcPr/>
          <w:p>
            <w:pPr>
              <w:pStyle w:val="Compact"/>
              <w:jc w:val="left"/>
            </w:pPr>
            <w:r>
              <w:t xml:space="preserve">107,418.00</w:t>
            </w:r>
          </w:p>
        </w:tc>
        <w:tc>
          <w:tcPr/>
          <w:p>
            <w:pPr>
              <w:pStyle w:val="Compact"/>
            </w:pPr>
          </w:p>
        </w:tc>
      </w:tr>
    </w:tbl>
    <w:p>
      <w:pPr>
        <w:pStyle w:val="BodyText"/>
      </w:pPr>
      <w:r>
        <w:t xml:space="preserve">TERMS &amp; CONDITIONS</w:t>
      </w:r>
    </w:p>
    <w:p>
      <w:pPr>
        <w:numPr>
          <w:ilvl w:val="0"/>
          <w:numId w:val="1001"/>
        </w:numPr>
        <w:pStyle w:val="Compact"/>
      </w:pPr>
      <w:r>
        <w:rPr>
          <w:bCs/>
          <w:b/>
        </w:rPr>
        <w:t xml:space="preserve">Delivery:</w:t>
      </w:r>
      <w:r>
        <w:t xml:space="preserve"> </w:t>
      </w:r>
      <w:r>
        <w:t xml:space="preserve">All physical goods listed in this Purchase Order shall be delivered DDP (Delivered Duty Paid) to the Meridyen Dental Clinic premises at İstiklal Caddesi No. 214, Beyoğlu, Istanbul, Turkey. The supplier is responsible for all customs clearance, import duties, and Turkish regulatory compliance (including TSE certification and Ministry of Health registration) prior to delivery. Estimated delivery window: 21–30 business days from the date of this Purchase Order.</w:t>
      </w:r>
    </w:p>
    <w:p>
      <w:pPr>
        <w:numPr>
          <w:ilvl w:val="0"/>
          <w:numId w:val="1001"/>
        </w:numPr>
        <w:pStyle w:val="Compact"/>
      </w:pPr>
      <w:r>
        <w:rPr>
          <w:bCs/>
          <w:b/>
        </w:rPr>
        <w:t xml:space="preserve">Payment:</w:t>
      </w:r>
      <w:r>
        <w:t xml:space="preserve"> </w:t>
      </w:r>
      <w:r>
        <w:t xml:space="preserve">Payment shall be made within thirty (30) calendar days of the invoice date via bank transfer to the supplier's designated EUR account. The buyer, Meridyen Dental Clinic A.S., shall issue a Turkish commercial invoice (fatura) in accordance with the Turkish Accounting Law (6102 sayılı Türk Ticaret Kanunu) and the relevant Ministry of Finance regulations. A 1.5% late payment penalty per day shall apply to overdue amounts.</w:t>
      </w:r>
    </w:p>
    <w:p>
      <w:pPr>
        <w:numPr>
          <w:ilvl w:val="0"/>
          <w:numId w:val="1001"/>
        </w:numPr>
        <w:pStyle w:val="Compact"/>
      </w:pPr>
      <w:r>
        <w:rPr>
          <w:bCs/>
          <w:b/>
        </w:rPr>
        <w:t xml:space="preserve">Quality &amp; Compliance:</w:t>
      </w:r>
      <w:r>
        <w:t xml:space="preserve"> </w:t>
      </w:r>
      <w:r>
        <w:t xml:space="preserve">All dental equipment and consumables must comply with the European Union Medical Device Regulation (MDR 2017/745), carry valid CE marking, and meet the standards set forth by the Turkish Ministry of Health (Sağlık Bakanlığı) for dental practice use in Istanbul. The supplier warrants that all items are new, unused, and free from defects for a minimum period of twenty-four (24) months from the date of delivery.</w:t>
      </w:r>
    </w:p>
    <w:p>
      <w:pPr>
        <w:numPr>
          <w:ilvl w:val="0"/>
          <w:numId w:val="1001"/>
        </w:numPr>
        <w:pStyle w:val="Compact"/>
      </w:pPr>
      <w:r>
        <w:rPr>
          <w:bCs/>
          <w:b/>
        </w:rPr>
        <w:t xml:space="preserve">Warranty &amp; After-Sales Support:</w:t>
      </w:r>
      <w:r>
        <w:t xml:space="preserve"> </w:t>
      </w:r>
      <w:r>
        <w:t xml:space="preserve">The supplier shall provide on-site technical support and warranty service in Istanbul, Turkey, for all capital equipment (dental chairs, autoclaves, X-ray units) for a period of three (3) years. Response time for critical dental equipment failures shall not exceed forty-eight (48) hours. Spare parts inventory shall be maintained at the supplier's Istanbul logistics partner warehouse in the Tuzla Free Zone.</w:t>
      </w:r>
    </w:p>
    <w:p>
      <w:pPr>
        <w:numPr>
          <w:ilvl w:val="0"/>
          <w:numId w:val="1001"/>
        </w:numPr>
        <w:pStyle w:val="Compact"/>
      </w:pPr>
      <w:r>
        <w:rPr>
          <w:bCs/>
          <w:b/>
        </w:rPr>
        <w:t xml:space="preserve">Regulatory &amp; Data Protection:</w:t>
      </w:r>
      <w:r>
        <w:t xml:space="preserve"> </w:t>
      </w:r>
      <w:r>
        <w:t xml:space="preserve">The dental records software (Item 10) must be fully compliant with the Turkish Personal Data Protection Law (KVKK – 6698 sayılı Kişisel Verilerin Korunması Kanunu). All patient data processed through this system shall be stored on servers located within the Republic of Turkey. The supplier shall execute a Data Processing Agreement (DPA) prior to software activation.</w:t>
      </w:r>
    </w:p>
    <w:p>
      <w:pPr>
        <w:numPr>
          <w:ilvl w:val="0"/>
          <w:numId w:val="1001"/>
        </w:numPr>
        <w:pStyle w:val="Compact"/>
      </w:pPr>
      <w:r>
        <w:rPr>
          <w:bCs/>
          <w:b/>
        </w:rPr>
        <w:t xml:space="preserve">Acceptance &amp; Inspection:</w:t>
      </w:r>
      <w:r>
        <w:t xml:space="preserve"> </w:t>
      </w:r>
      <w:r>
        <w:t xml:space="preserve">Upon delivery to the Istanbul clinic, the buyer's designated dental technician shall inspect all items within five (5) business days. Any discrepancies, damage, or non-conformity must be reported in writing to the supplier within the same period. Unreported items shall be deemed accepted.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port closures at Istanbul's Marmara Sea terminals, or pandemic-related restrictions imposed by Turkish authorities.</w:t>
      </w:r>
    </w:p>
    <w:p>
      <w:pPr>
        <w:numPr>
          <w:ilvl w:val="0"/>
          <w:numId w:val="1001"/>
        </w:numPr>
        <w:pStyle w:val="Compact"/>
      </w:pPr>
      <w:r>
        <w:rPr>
          <w:bCs/>
          <w:b/>
        </w:rPr>
        <w:t xml:space="preserve">Governing Law &amp; Dispute Resolution:</w:t>
      </w:r>
      <w:r>
        <w:t xml:space="preserve"> </w:t>
      </w:r>
      <w:r>
        <w:t xml:space="preserve">This Purchase Order shall be governed by the laws of the Republic of Turkey. Any disputes arising from or in connection with this Purchase Order shall be submitted to the Istanbul Arbitration Institute (ISTAC) for resolution in Istanbul, Turkey. The language of arbitration shall be English.</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dental practice (buyer) and the supplier. Verbal agreements or email confirmations shall not constitute a valid amendment.</w:t>
      </w:r>
    </w:p>
    <w:p>
      <w:pPr>
        <w:pStyle w:val="FirstParagraph"/>
      </w:pPr>
      <w:r>
        <w:t xml:space="preserve">NOTES &amp; SPECIAL INSTRUCTIONS</w:t>
      </w:r>
    </w:p>
    <w:p>
      <w:pPr>
        <w:pStyle w:val="BodyText"/>
      </w:pPr>
      <w:r>
        <w:t xml:space="preserve">This Purchase Order is issued by Meridyen Dental Clinic A.S. in connection with the expansion of its dental practice operations in the Beyoğlu district of Istanbul, Turkey. The clinic serves both domestic patients and international dental tourism clients, and therefore all equipment must meet the highest international standards for dental care. The supplier is reminded that all dental instruments and materials must be accompanied by Turkish-language user manuals and safety data sheets (SDS) in accordance with local regulatory requirements. Installation of the dental chair units and X-ray equipment shall be performed by the supplier's certified technicians in coordination with the clinic's lead dentist, Dr. Elif Yılmaz, and must be scheduled during non-operational hours (weekends) to minimize disruption to patient appointments at the Istanbul location.</w:t>
      </w:r>
    </w:p>
    <w:p>
      <w:pPr>
        <w:pStyle w:val="BodyText"/>
      </w:pPr>
      <w:r>
        <w:rPr>
          <w:bCs/>
          <w:b/>
        </w:rPr>
        <w:t xml:space="preserve">For and on behalf of the Buyer:</w:t>
      </w:r>
    </w:p>
    <w:p>
      <w:pPr>
        <w:pStyle w:val="BodyText"/>
      </w:pPr>
      <w:r>
        <w:t xml:space="preserve">Meridyen Dental Clinic A.S.</w:t>
      </w:r>
    </w:p>
    <w:p>
      <w:pPr>
        <w:pStyle w:val="BodyText"/>
      </w:pPr>
      <w:r>
        <w:t xml:space="preserve">Dr. Elif Yılmaz</w:t>
      </w:r>
      <w:r>
        <w:br/>
      </w:r>
      <w:r>
        <w:t xml:space="preserve">Chief Dentist &amp; Practice Manager</w:t>
      </w:r>
      <w:r>
        <w:br/>
      </w:r>
      <w:r>
        <w:t xml:space="preserve">Date: _______________</w:t>
      </w:r>
    </w:p>
    <w:p>
      <w:pPr>
        <w:pStyle w:val="BodyText"/>
      </w:pPr>
      <w:r>
        <w:rPr>
          <w:bCs/>
          <w:b/>
        </w:rPr>
        <w:t xml:space="preserve">For and on behalf of the Supplier:</w:t>
      </w:r>
    </w:p>
    <w:p>
      <w:pPr>
        <w:pStyle w:val="BodyText"/>
      </w:pPr>
      <w:r>
        <w:t xml:space="preserve">MedDent Europe GmbH</w:t>
      </w:r>
    </w:p>
    <w:p>
      <w:pPr>
        <w:pStyle w:val="BodyText"/>
      </w:pPr>
      <w:r>
        <w:t xml:space="preserve">Mr. Thomas Berger</w:t>
      </w:r>
      <w:r>
        <w:br/>
      </w:r>
      <w:r>
        <w:t xml:space="preserve">Regional Sales Director – Turkey &amp; Middle East</w:t>
      </w:r>
      <w:r>
        <w:br/>
      </w:r>
      <w:r>
        <w:t xml:space="preserve">Date: _______________</w:t>
      </w:r>
    </w:p>
    <w:p>
      <w:pPr>
        <w:pStyle w:val="BodyText"/>
      </w:pPr>
      <w:r>
        <w:rPr>
          <w:bCs/>
          <w:b/>
        </w:rPr>
        <w:t xml:space="preserve">Important Notice:</w:t>
      </w:r>
      <w:r>
        <w:t xml:space="preserve"> </w:t>
      </w:r>
      <w:r>
        <w:t xml:space="preserve">This Purchase Order document is a legally binding procurement instrument issued under the commercial laws of the Republic of Turkey. All dental products and equipment referenced herein are intended exclusively for use in a licensed dental practice registered with the Istanbul Provincial Directorate of Health (İstanbul İl Sağlık Müdürlüğü). Unauthorized resale or redistribution of any items listed in this Purchase Order is strictly prohibited. For questions regarding this Purchase Order, please contact the procurement department of Meridyen Dental Clinic A.S. at the Istanbul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Istanbul, Turkey</dc:title>
  <dc:creator/>
  <dc:language>en</dc:language>
  <cp:keywords/>
  <dcterms:created xsi:type="dcterms:W3CDTF">2026-10-10T06:54:40Z</dcterms:created>
  <dcterms:modified xsi:type="dcterms:W3CDTF">2026-10-10T06:54:40Z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