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Caracas,</w:t>
      </w:r>
      <w:r>
        <w:t xml:space="preserve"> </w:t>
      </w:r>
      <w:r>
        <w:t xml:space="preserve">Venezuela</w:t>
      </w:r>
    </w:p>
    <w:bookmarkStart w:id="20" w:name="purchase-order"/>
    <w:p>
      <w:pPr>
        <w:pStyle w:val="Heading1"/>
      </w:pPr>
      <w:r>
        <w:t xml:space="preserve">PURCHASE ORDER</w:t>
      </w:r>
    </w:p>
    <w:p>
      <w:pPr>
        <w:pStyle w:val="FirstParagraph"/>
      </w:pPr>
      <w:r>
        <w:t xml:space="preserve">Dental Supplies &amp; Equipment Procurement Document</w:t>
      </w:r>
    </w:p>
    <w:p>
      <w:pPr>
        <w:pStyle w:val="BodyText"/>
      </w:pPr>
      <w:r>
        <w:t xml:space="preserve">Caracas, Venezuela — Official Procurement Record</w:t>
      </w:r>
    </w:p>
    <w:bookmarkEnd w:id="20"/>
    <w:p>
      <w:pPr>
        <w:pStyle w:val="BodyText"/>
      </w:pPr>
      <w:r>
        <w:t xml:space="preserve">PO No. VEN-CAR-2025-00487</w:t>
      </w:r>
    </w:p>
    <w:bookmarkStart w:id="21" w:name="buyer-receiving-party"/>
    <w:p>
      <w:pPr>
        <w:pStyle w:val="Heading3"/>
      </w:pPr>
      <w:r>
        <w:t xml:space="preserve">Buyer / Receiving Party</w:t>
      </w:r>
    </w:p>
    <w:p>
      <w:pPr>
        <w:pStyle w:val="FirstParagraph"/>
      </w:pPr>
      <w:r>
        <w:rPr>
          <w:bCs/>
          <w:b/>
        </w:rPr>
        <w:t xml:space="preserve">Clínica Dental El Ávila</w:t>
      </w:r>
    </w:p>
    <w:p>
      <w:pPr>
        <w:pStyle w:val="BodyText"/>
      </w:pPr>
      <w:r>
        <w:t xml:space="preserve">Av. Francisco de Miranda, Torre Empresarial, Piso 12</w:t>
      </w:r>
    </w:p>
    <w:p>
      <w:pPr>
        <w:pStyle w:val="BodyText"/>
      </w:pPr>
      <w:r>
        <w:t xml:space="preserve">Chacao, Caracas 1060, Venezuela</w:t>
      </w:r>
    </w:p>
    <w:p>
      <w:pPr>
        <w:pStyle w:val="BodyText"/>
      </w:pPr>
      <w:r>
        <w:t xml:space="preserve">RIF: J-31845672-9</w:t>
      </w:r>
    </w:p>
    <w:p>
      <w:pPr>
        <w:pStyle w:val="BodyText"/>
      </w:pPr>
      <w:r>
        <w:t xml:space="preserve">Tel: +58 (212) 555-7843</w:t>
      </w:r>
    </w:p>
    <w:p>
      <w:pPr>
        <w:pStyle w:val="BodyText"/>
      </w:pPr>
      <w:r>
        <w:t xml:space="preserve">Email: compras@clinicadentalelavila.com.ve</w:t>
      </w:r>
    </w:p>
    <w:p>
      <w:pPr>
        <w:pStyle w:val="BodyText"/>
      </w:pPr>
      <w:r>
        <w:t xml:space="preserve">Attn: Dr. María Fernanda Rojas, DDS — Director of Dental Operations</w:t>
      </w:r>
    </w:p>
    <w:bookmarkEnd w:id="21"/>
    <w:bookmarkStart w:id="22" w:name="supplier-vendor"/>
    <w:p>
      <w:pPr>
        <w:pStyle w:val="Heading3"/>
      </w:pPr>
      <w:r>
        <w:t xml:space="preserve">Supplier / Vendor</w:t>
      </w:r>
    </w:p>
    <w:p>
      <w:pPr>
        <w:pStyle w:val="FirstParagraph"/>
      </w:pPr>
      <w:r>
        <w:rPr>
          <w:bCs/>
          <w:b/>
        </w:rPr>
        <w:t xml:space="preserve">MedDental Distribuciones C.A.</w:t>
      </w:r>
    </w:p>
    <w:p>
      <w:pPr>
        <w:pStyle w:val="BodyText"/>
      </w:pPr>
      <w:r>
        <w:t xml:space="preserve">Urb. Industrial Los Palos Grandes, Nave 47</w:t>
      </w:r>
    </w:p>
    <w:p>
      <w:pPr>
        <w:pStyle w:val="BodyText"/>
      </w:pPr>
      <w:r>
        <w:t xml:space="preserve">Los Palos Grandes, Caracas 1080, Venezuela</w:t>
      </w:r>
    </w:p>
    <w:p>
      <w:pPr>
        <w:pStyle w:val="BodyText"/>
      </w:pPr>
      <w:r>
        <w:t xml:space="preserve">RIF: J-40298761-3</w:t>
      </w:r>
    </w:p>
    <w:p>
      <w:pPr>
        <w:pStyle w:val="BodyText"/>
      </w:pPr>
      <w:r>
        <w:t xml:space="preserve">Tel: +58 (212) 555-3319</w:t>
      </w:r>
    </w:p>
    <w:p>
      <w:pPr>
        <w:pStyle w:val="BodyText"/>
      </w:pPr>
      <w:r>
        <w:t xml:space="preserve">Email: ventas@meddentaldist.com.ve</w:t>
      </w:r>
    </w:p>
    <w:p>
      <w:pPr>
        <w:pStyle w:val="BodyText"/>
      </w:pPr>
      <w:r>
        <w:t xml:space="preserve">Contact: Ing. Carlos Alberto Mendoza</w:t>
      </w:r>
    </w:p>
    <w:bookmarkEnd w:id="22"/>
    <w:bookmarkStart w:id="23" w:name="order-details"/>
    <w:p>
      <w:pPr>
        <w:pStyle w:val="Heading3"/>
      </w:pPr>
      <w:r>
        <w:t xml:space="preserve">Order Details</w:t>
      </w:r>
    </w:p>
    <w:p>
      <w:pPr>
        <w:pStyle w:val="FirstParagraph"/>
      </w:pPr>
      <w:r>
        <w:rPr>
          <w:bCs/>
          <w:b/>
        </w:rPr>
        <w:t xml:space="preserve">Issue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Clínica Dental El Ávila, Chacao, Caracas, Venezuela</w:t>
      </w:r>
    </w:p>
    <w:p>
      <w:pPr>
        <w:pStyle w:val="BodyText"/>
      </w:pPr>
      <w:r>
        <w:rPr>
          <w:bCs/>
          <w:b/>
        </w:rPr>
        <w:t xml:space="preserve">Payment Terms:</w:t>
      </w:r>
      <w:r>
        <w:t xml:space="preserve"> </w:t>
      </w:r>
      <w:r>
        <w:t xml:space="preserve">Net 30 days from invoice date (in Venezuelan Bolívares Fuertes, Bs.F.)</w:t>
      </w:r>
    </w:p>
    <w:p>
      <w:pPr>
        <w:pStyle w:val="BodyText"/>
      </w:pPr>
      <w:r>
        <w:rPr>
          <w:bCs/>
          <w:b/>
        </w:rPr>
        <w:t xml:space="preserve">Currency:</w:t>
      </w:r>
      <w:r>
        <w:t xml:space="preserve"> </w:t>
      </w:r>
      <w:r>
        <w:t xml:space="preserve">Bs.F. (Venezuelan Bolívar Fuerte) / USD equivalent</w:t>
      </w:r>
    </w:p>
    <w:bookmarkEnd w:id="23"/>
    <w:bookmarkStart w:id="24" w:name="shipping-logistics"/>
    <w:p>
      <w:pPr>
        <w:pStyle w:val="Heading3"/>
      </w:pPr>
      <w:r>
        <w:t xml:space="preserve">Shipping &amp; Logistics</w:t>
      </w:r>
    </w:p>
    <w:p>
      <w:pPr>
        <w:pStyle w:val="FirstParagraph"/>
      </w:pPr>
      <w:r>
        <w:rPr>
          <w:bCs/>
          <w:b/>
        </w:rPr>
        <w:t xml:space="preserve">Shipping Method:</w:t>
      </w:r>
      <w:r>
        <w:t xml:space="preserve"> </w:t>
      </w:r>
      <w:r>
        <w:t xml:space="preserve">Local courier within Caracas metropolitan area</w:t>
      </w:r>
    </w:p>
    <w:p>
      <w:pPr>
        <w:pStyle w:val="BodyText"/>
      </w:pPr>
      <w:r>
        <w:rPr>
          <w:bCs/>
          <w:b/>
        </w:rPr>
        <w:t xml:space="preserve">Incoterms:</w:t>
      </w:r>
      <w:r>
        <w:t xml:space="preserve"> </w:t>
      </w:r>
      <w:r>
        <w:t xml:space="preserve">DDP (Delivered Duty Paid) — Caracas</w:t>
      </w:r>
    </w:p>
    <w:p>
      <w:pPr>
        <w:pStyle w:val="BodyText"/>
      </w:pPr>
      <w:r>
        <w:rPr>
          <w:bCs/>
          <w:b/>
        </w:rPr>
        <w:t xml:space="preserve">Freight:</w:t>
      </w:r>
      <w:r>
        <w:t xml:space="preserve"> </w:t>
      </w:r>
      <w:r>
        <w:t xml:space="preserve">Included in unit pricing</w:t>
      </w:r>
    </w:p>
    <w:p>
      <w:pPr>
        <w:pStyle w:val="BodyText"/>
      </w:pPr>
      <w:r>
        <w:rPr>
          <w:bCs/>
          <w:b/>
        </w:rPr>
        <w:t xml:space="preserve">Special Handling:</w:t>
      </w:r>
      <w:r>
        <w:t xml:space="preserve"> </w:t>
      </w:r>
      <w:r>
        <w:t xml:space="preserve">Cold-chain required for items 4 and 7</w:t>
      </w:r>
    </w:p>
    <w:bookmarkEnd w:id="24"/>
    <w:bookmarkStart w:id="26" w:name="Xc9cc970dacf0a62174facadae167ed371146652"/>
    <w:p>
      <w:pPr>
        <w:pStyle w:val="Heading2"/>
      </w:pPr>
      <w:r>
        <w:t xml:space="preserve">Itemized Purchase Order — Dental Equipment &amp; Consumables</w:t>
      </w:r>
    </w:p>
    <w:p>
      <w:pPr>
        <w:pStyle w:val="FirstParagraph"/>
      </w:pPr>
      <w:r>
        <w:t xml:space="preserve">The following items are ordered by Clínica Dental El Ávila, a licensed dental practice operating in Caracas, Venezuela, to maintain and expand its clinical services for the local patient population.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(Bs.F.)</w:t>
            </w:r>
          </w:p>
        </w:tc>
        <w:tc>
          <w:tcPr/>
          <w:p>
            <w:pPr>
              <w:pStyle w:val="Compact"/>
              <w:jc w:val="left"/>
            </w:pPr>
            <w:r>
              <w:t xml:space="preserve">Line Total (Bs.F.)</w:t>
            </w:r>
          </w:p>
        </w:tc>
      </w:tr>
      <w:tr>
        <w:tc>
          <w:tcPr/>
          <w:p>
            <w:pPr>
              <w:pStyle w:val="Compact"/>
              <w:jc w:val="left"/>
            </w:pPr>
            <w:r>
              <w:t xml:space="preserve">1</w:t>
            </w:r>
          </w:p>
        </w:tc>
        <w:tc>
          <w:tcPr/>
          <w:p>
            <w:pPr>
              <w:pStyle w:val="Compact"/>
              <w:jc w:val="left"/>
            </w:pPr>
            <w:r>
              <w:t xml:space="preserve">Dental Composite Resin, A2 Shade, 4g Syringe (3M Filtek Z350 XT)</w:t>
            </w:r>
          </w:p>
        </w:tc>
        <w:tc>
          <w:tcPr/>
          <w:p>
            <w:pPr>
              <w:pStyle w:val="Compact"/>
              <w:jc w:val="left"/>
            </w:pPr>
            <w:r>
              <w:t xml:space="preserve">3M-FZ350-A2</w:t>
            </w:r>
          </w:p>
        </w:tc>
        <w:tc>
          <w:tcPr/>
          <w:p>
            <w:pPr>
              <w:pStyle w:val="Compact"/>
              <w:jc w:val="left"/>
            </w:pPr>
            <w:r>
              <w:t xml:space="preserve">24</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2</w:t>
            </w:r>
          </w:p>
        </w:tc>
        <w:tc>
          <w:tcPr/>
          <w:p>
            <w:pPr>
              <w:pStyle w:val="Compact"/>
              <w:jc w:val="left"/>
            </w:pPr>
            <w:r>
              <w:t xml:space="preserve">Disposable Dental Examination Gloves, Medium, Box of 100</w:t>
            </w:r>
          </w:p>
        </w:tc>
        <w:tc>
          <w:tcPr/>
          <w:p>
            <w:pPr>
              <w:pStyle w:val="Compact"/>
              <w:jc w:val="left"/>
            </w:pPr>
            <w:r>
              <w:t xml:space="preserve">MD-GLOVE-M-100</w:t>
            </w:r>
          </w:p>
        </w:tc>
        <w:tc>
          <w:tcPr/>
          <w:p>
            <w:pPr>
              <w:pStyle w:val="Compact"/>
              <w:jc w:val="left"/>
            </w:pPr>
            <w:r>
              <w:t xml:space="preserve">50</w:t>
            </w:r>
          </w:p>
        </w:tc>
        <w:tc>
          <w:tcPr/>
          <w:p>
            <w:pPr>
              <w:pStyle w:val="Compact"/>
              <w:jc w:val="left"/>
            </w:pPr>
            <w:r>
              <w:t xml:space="preserve">3,200.00</w:t>
            </w:r>
          </w:p>
        </w:tc>
        <w:tc>
          <w:tcPr/>
          <w:p>
            <w:pPr>
              <w:pStyle w:val="Compact"/>
              <w:jc w:val="left"/>
            </w:pPr>
            <w:r>
              <w:t xml:space="preserve">160,000.00</w:t>
            </w:r>
          </w:p>
        </w:tc>
      </w:tr>
      <w:tr>
        <w:tc>
          <w:tcPr/>
          <w:p>
            <w:pPr>
              <w:pStyle w:val="Compact"/>
              <w:jc w:val="left"/>
            </w:pPr>
            <w:r>
              <w:t xml:space="preserve">3</w:t>
            </w:r>
          </w:p>
        </w:tc>
        <w:tc>
          <w:tcPr/>
          <w:p>
            <w:pPr>
              <w:pStyle w:val="Compact"/>
              <w:jc w:val="left"/>
            </w:pPr>
            <w:r>
              <w:t xml:space="preserve">Dental Handpiece, High-Speed, 400,000 RPM (NSK T104L)</w:t>
            </w:r>
          </w:p>
        </w:tc>
        <w:tc>
          <w:tcPr/>
          <w:p>
            <w:pPr>
              <w:pStyle w:val="Compact"/>
              <w:jc w:val="left"/>
            </w:pPr>
            <w:r>
              <w:t xml:space="preserve">NSK-T104L-HS</w:t>
            </w:r>
          </w:p>
        </w:tc>
        <w:tc>
          <w:tcPr/>
          <w:p>
            <w:pPr>
              <w:pStyle w:val="Compact"/>
              <w:jc w:val="left"/>
            </w:pPr>
            <w:r>
              <w:t xml:space="preserve">2</w:t>
            </w:r>
          </w:p>
        </w:tc>
        <w:tc>
          <w:tcPr/>
          <w:p>
            <w:pPr>
              <w:pStyle w:val="Compact"/>
              <w:jc w:val="left"/>
            </w:pPr>
            <w:r>
              <w:t xml:space="preserve">285,000.00</w:t>
            </w:r>
          </w:p>
        </w:tc>
        <w:tc>
          <w:tcPr/>
          <w:p>
            <w:pPr>
              <w:pStyle w:val="Compact"/>
              <w:jc w:val="left"/>
            </w:pPr>
            <w:r>
              <w:t xml:space="preserve">570,000.00</w:t>
            </w:r>
          </w:p>
        </w:tc>
      </w:tr>
      <w:tr>
        <w:tc>
          <w:tcPr/>
          <w:p>
            <w:pPr>
              <w:pStyle w:val="Compact"/>
              <w:jc w:val="left"/>
            </w:pPr>
            <w:r>
              <w:t xml:space="preserve">4</w:t>
            </w:r>
          </w:p>
        </w:tc>
        <w:tc>
          <w:tcPr/>
          <w:p>
            <w:pPr>
              <w:pStyle w:val="Compact"/>
              <w:jc w:val="left"/>
            </w:pPr>
            <w:r>
              <w:t xml:space="preserve">Local Anesthetic Cartridges, Lidocaine 2% w/ Epinephrine 1:100,000 (1.8 mL)</w:t>
            </w:r>
          </w:p>
        </w:tc>
        <w:tc>
          <w:tcPr/>
          <w:p>
            <w:pPr>
              <w:pStyle w:val="Compact"/>
              <w:jc w:val="left"/>
            </w:pPr>
            <w:r>
              <w:t xml:space="preserve">MD-LID-2-EP</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5</w:t>
            </w:r>
          </w:p>
        </w:tc>
        <w:tc>
          <w:tcPr/>
          <w:p>
            <w:pPr>
              <w:pStyle w:val="Compact"/>
              <w:jc w:val="left"/>
            </w:pPr>
            <w:r>
              <w:t xml:space="preserve">Amalgam Alloy, Type III, 10g Capsules (Premier)</w:t>
            </w:r>
          </w:p>
        </w:tc>
        <w:tc>
          <w:tcPr/>
          <w:p>
            <w:pPr>
              <w:pStyle w:val="Compact"/>
              <w:jc w:val="left"/>
            </w:pPr>
            <w:r>
              <w:t xml:space="preserve">PRM-AMG-III-10</w:t>
            </w:r>
          </w:p>
        </w:tc>
        <w:tc>
          <w:tcPr/>
          <w:p>
            <w:pPr>
              <w:pStyle w:val="Compact"/>
              <w:jc w:val="left"/>
            </w:pPr>
            <w:r>
              <w:t xml:space="preserve">60</w:t>
            </w:r>
          </w:p>
        </w:tc>
        <w:tc>
          <w:tcPr/>
          <w:p>
            <w:pPr>
              <w:pStyle w:val="Compact"/>
              <w:jc w:val="left"/>
            </w:pPr>
            <w:r>
              <w:t xml:space="preserve">4,750.00</w:t>
            </w:r>
          </w:p>
        </w:tc>
        <w:tc>
          <w:tcPr/>
          <w:p>
            <w:pPr>
              <w:pStyle w:val="Compact"/>
              <w:jc w:val="left"/>
            </w:pPr>
            <w:r>
              <w:t xml:space="preserve">285,000.00</w:t>
            </w:r>
          </w:p>
        </w:tc>
      </w:tr>
      <w:tr>
        <w:tc>
          <w:tcPr/>
          <w:p>
            <w:pPr>
              <w:pStyle w:val="Compact"/>
              <w:jc w:val="left"/>
            </w:pPr>
            <w:r>
              <w:t xml:space="preserve">6</w:t>
            </w:r>
          </w:p>
        </w:tc>
        <w:tc>
          <w:tcPr/>
          <w:p>
            <w:pPr>
              <w:pStyle w:val="Compact"/>
              <w:jc w:val="left"/>
            </w:pPr>
            <w:r>
              <w:t xml:space="preserve">Dental Burs, Carbide, Round, Size 2 (Box of 10)</w:t>
            </w:r>
          </w:p>
        </w:tc>
        <w:tc>
          <w:tcPr/>
          <w:p>
            <w:pPr>
              <w:pStyle w:val="Compact"/>
              <w:jc w:val="left"/>
            </w:pPr>
            <w:r>
              <w:t xml:space="preserve">MD-BUR-CR-2-10</w:t>
            </w:r>
          </w:p>
        </w:tc>
        <w:tc>
          <w:tcPr/>
          <w:p>
            <w:pPr>
              <w:pStyle w:val="Compact"/>
              <w:jc w:val="left"/>
            </w:pPr>
            <w:r>
              <w:t xml:space="preserve">30</w:t>
            </w:r>
          </w:p>
        </w:tc>
        <w:tc>
          <w:tcPr/>
          <w:p>
            <w:pPr>
              <w:pStyle w:val="Compact"/>
              <w:jc w:val="left"/>
            </w:pPr>
            <w:r>
              <w:t xml:space="preserve">2,100.00</w:t>
            </w:r>
          </w:p>
        </w:tc>
        <w:tc>
          <w:tcPr/>
          <w:p>
            <w:pPr>
              <w:pStyle w:val="Compact"/>
              <w:jc w:val="left"/>
            </w:pPr>
            <w:r>
              <w:t xml:space="preserve">63,000.00</w:t>
            </w:r>
          </w:p>
        </w:tc>
      </w:tr>
      <w:tr>
        <w:tc>
          <w:tcPr/>
          <w:p>
            <w:pPr>
              <w:pStyle w:val="Compact"/>
              <w:jc w:val="left"/>
            </w:pPr>
            <w:r>
              <w:t xml:space="preserve">7</w:t>
            </w:r>
          </w:p>
        </w:tc>
        <w:tc>
          <w:tcPr/>
          <w:p>
            <w:pPr>
              <w:pStyle w:val="Compact"/>
              <w:jc w:val="left"/>
            </w:pPr>
            <w:r>
              <w:t xml:space="preserve">Impression Material, Polyvinyl Siloxane, Medium Viscosity, 340g Syringe</w:t>
            </w:r>
          </w:p>
        </w:tc>
        <w:tc>
          <w:tcPr/>
          <w:p>
            <w:pPr>
              <w:pStyle w:val="Compact"/>
              <w:jc w:val="left"/>
            </w:pPr>
            <w:r>
              <w:t xml:space="preserve">MD-PVS-MED-340</w:t>
            </w:r>
          </w:p>
        </w:tc>
        <w:tc>
          <w:tcPr/>
          <w:p>
            <w:pPr>
              <w:pStyle w:val="Compact"/>
              <w:jc w:val="left"/>
            </w:pPr>
            <w:r>
              <w:t xml:space="preserve">16</w:t>
            </w:r>
          </w:p>
        </w:tc>
        <w:tc>
          <w:tcPr/>
          <w:p>
            <w:pPr>
              <w:pStyle w:val="Compact"/>
              <w:jc w:val="left"/>
            </w:pPr>
            <w:r>
              <w:t xml:space="preserve">12,400.00</w:t>
            </w:r>
          </w:p>
        </w:tc>
        <w:tc>
          <w:tcPr/>
          <w:p>
            <w:pPr>
              <w:pStyle w:val="Compact"/>
              <w:jc w:val="left"/>
            </w:pPr>
            <w:r>
              <w:t xml:space="preserve">198,400.00</w:t>
            </w:r>
          </w:p>
        </w:tc>
      </w:tr>
      <w:tr>
        <w:tc>
          <w:tcPr/>
          <w:p>
            <w:pPr>
              <w:pStyle w:val="Compact"/>
              <w:jc w:val="left"/>
            </w:pPr>
            <w:r>
              <w:t xml:space="preserve">8</w:t>
            </w:r>
          </w:p>
        </w:tc>
        <w:tc>
          <w:tcPr/>
          <w:p>
            <w:pPr>
              <w:pStyle w:val="Compact"/>
              <w:jc w:val="left"/>
            </w:pPr>
            <w:r>
              <w:t xml:space="preserve">Dental X-Ray Film, Size 2, Bitewing, Box of 100</w:t>
            </w:r>
          </w:p>
        </w:tc>
        <w:tc>
          <w:tcPr/>
          <w:p>
            <w:pPr>
              <w:pStyle w:val="Compact"/>
              <w:jc w:val="left"/>
            </w:pPr>
            <w:r>
              <w:t xml:space="preserve">MD-XRF-S2-100</w:t>
            </w:r>
          </w:p>
        </w:tc>
        <w:tc>
          <w:tcPr/>
          <w:p>
            <w:pPr>
              <w:pStyle w:val="Compact"/>
              <w:jc w:val="left"/>
            </w:pPr>
            <w:r>
              <w:t xml:space="preserve">20</w:t>
            </w:r>
          </w:p>
        </w:tc>
        <w:tc>
          <w:tcPr/>
          <w:p>
            <w:pPr>
              <w:pStyle w:val="Compact"/>
              <w:jc w:val="left"/>
            </w:pPr>
            <w:r>
              <w:t xml:space="preserve">5,600.00</w:t>
            </w:r>
          </w:p>
        </w:tc>
        <w:tc>
          <w:tcPr/>
          <w:p>
            <w:pPr>
              <w:pStyle w:val="Compact"/>
              <w:jc w:val="left"/>
            </w:pPr>
            <w:r>
              <w:t xml:space="preserve">112,000.00</w:t>
            </w:r>
          </w:p>
        </w:tc>
      </w:tr>
      <w:tr>
        <w:tc>
          <w:tcPr/>
          <w:p>
            <w:pPr>
              <w:pStyle w:val="Compact"/>
              <w:jc w:val="left"/>
            </w:pPr>
            <w:r>
              <w:t xml:space="preserve">9</w:t>
            </w:r>
          </w:p>
        </w:tc>
        <w:tc>
          <w:tcPr/>
          <w:p>
            <w:pPr>
              <w:pStyle w:val="Compact"/>
              <w:jc w:val="left"/>
            </w:pPr>
            <w:r>
              <w:t xml:space="preserve">Prophylaxis Paste, Fluoride 1.23%, Mint, 100g Jar</w:t>
            </w:r>
          </w:p>
        </w:tc>
        <w:tc>
          <w:tcPr/>
          <w:p>
            <w:pPr>
              <w:pStyle w:val="Compact"/>
              <w:jc w:val="left"/>
            </w:pPr>
            <w:r>
              <w:t xml:space="preserve">MD-PROF-FL-100</w:t>
            </w:r>
          </w:p>
        </w:tc>
        <w:tc>
          <w:tcPr/>
          <w:p>
            <w:pPr>
              <w:pStyle w:val="Compact"/>
              <w:jc w:val="left"/>
            </w:pPr>
            <w:r>
              <w:t xml:space="preserve">40</w:t>
            </w:r>
          </w:p>
        </w:tc>
        <w:tc>
          <w:tcPr/>
          <w:p>
            <w:pPr>
              <w:pStyle w:val="Compact"/>
              <w:jc w:val="left"/>
            </w:pPr>
            <w:r>
              <w:t xml:space="preserve">1,950.00</w:t>
            </w:r>
          </w:p>
        </w:tc>
        <w:tc>
          <w:tcPr/>
          <w:p>
            <w:pPr>
              <w:pStyle w:val="Compact"/>
              <w:jc w:val="left"/>
            </w:pPr>
            <w:r>
              <w:t xml:space="preserve">78,000.00</w:t>
            </w:r>
          </w:p>
        </w:tc>
      </w:tr>
      <w:tr>
        <w:tc>
          <w:tcPr/>
          <w:p>
            <w:pPr>
              <w:pStyle w:val="Compact"/>
              <w:jc w:val="left"/>
            </w:pPr>
            <w:r>
              <w:t xml:space="preserve">10</w:t>
            </w:r>
          </w:p>
        </w:tc>
        <w:tc>
          <w:tcPr/>
          <w:p>
            <w:pPr>
              <w:pStyle w:val="Compact"/>
              <w:jc w:val="left"/>
            </w:pPr>
            <w:r>
              <w:t xml:space="preserve">Dental Chair Cushion Cover, Universal Fit, White Vinyl</w:t>
            </w:r>
          </w:p>
        </w:tc>
        <w:tc>
          <w:tcPr/>
          <w:p>
            <w:pPr>
              <w:pStyle w:val="Compact"/>
              <w:jc w:val="left"/>
            </w:pPr>
            <w:r>
              <w:t xml:space="preserve">MD-CHC-WH-UNI</w:t>
            </w:r>
          </w:p>
        </w:tc>
        <w:tc>
          <w:tcPr/>
          <w:p>
            <w:pPr>
              <w:pStyle w:val="Compact"/>
              <w:jc w:val="left"/>
            </w:pPr>
            <w:r>
              <w:t xml:space="preserve">4</w:t>
            </w:r>
          </w:p>
        </w:tc>
        <w:tc>
          <w:tcPr/>
          <w:p>
            <w:pPr>
              <w:pStyle w:val="Compact"/>
              <w:jc w:val="left"/>
            </w:pPr>
            <w:r>
              <w:t xml:space="preserve">9,800.00</w:t>
            </w:r>
          </w:p>
        </w:tc>
        <w:tc>
          <w:tcPr/>
          <w:p>
            <w:pPr>
              <w:pStyle w:val="Compact"/>
              <w:jc w:val="left"/>
            </w:pPr>
            <w:r>
              <w:t xml:space="preserve">39,200.00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2,319,600.00 Bs.F.</w:t>
            </w:r>
          </w:p>
        </w:tc>
      </w:tr>
      <w:tr>
        <w:tc>
          <w:tcPr/>
          <w:p>
            <w:pPr>
              <w:pStyle w:val="Compact"/>
              <w:jc w:val="left"/>
            </w:pPr>
            <w:r>
              <w:t xml:space="preserve">IVA (16% VAT — Venezuela):</w:t>
            </w:r>
          </w:p>
        </w:tc>
        <w:tc>
          <w:tcPr/>
          <w:p>
            <w:pPr>
              <w:pStyle w:val="Compact"/>
              <w:jc w:val="right"/>
            </w:pPr>
            <w:r>
              <w:t xml:space="preserve">371,136.00 Bs.F.</w:t>
            </w:r>
          </w:p>
        </w:tc>
      </w:tr>
      <w:tr>
        <w:tc>
          <w:tcPr/>
          <w:p>
            <w:pPr>
              <w:pStyle w:val="Compact"/>
              <w:jc w:val="left"/>
            </w:pPr>
            <w:r>
              <w:t xml:space="preserve">Local Delivery (Caracas Metro):</w:t>
            </w:r>
          </w:p>
        </w:tc>
        <w:tc>
          <w:tcPr/>
          <w:p>
            <w:pPr>
              <w:pStyle w:val="Compact"/>
              <w:jc w:val="right"/>
            </w:pPr>
            <w:r>
              <w:t xml:space="preserve">0.00 Bs.F.</w:t>
            </w:r>
          </w:p>
        </w:tc>
      </w:tr>
      <w:tr>
        <w:tc>
          <w:tcPr/>
          <w:p>
            <w:pPr>
              <w:pStyle w:val="Compact"/>
              <w:jc w:val="left"/>
            </w:pPr>
            <w:r>
              <w:t xml:space="preserve">GRAND TOTAL:</w:t>
            </w:r>
          </w:p>
        </w:tc>
        <w:tc>
          <w:tcPr/>
          <w:p>
            <w:pPr>
              <w:pStyle w:val="Compact"/>
              <w:jc w:val="right"/>
            </w:pPr>
            <w:r>
              <w:t xml:space="preserve">2,690,736.00 Bs.F.</w:t>
            </w:r>
          </w:p>
        </w:tc>
      </w:tr>
    </w:tbl>
    <w:bookmarkStart w:id="25" w:name="terms-conditions-special-instructions"/>
    <w:p>
      <w:pPr>
        <w:pStyle w:val="Heading3"/>
      </w:pPr>
      <w:r>
        <w:t xml:space="preserve">Terms, Conditions &amp; Special Instructions</w:t>
      </w:r>
    </w:p>
    <w:p>
      <w:pPr>
        <w:numPr>
          <w:ilvl w:val="0"/>
          <w:numId w:val="1001"/>
        </w:numPr>
        <w:pStyle w:val="Compact"/>
      </w:pPr>
      <w:r>
        <w:t xml:space="preserve">This Purchase Order is issued by Clínica Dental El Ávila, a registered dental practice in Caracas, Venezuela, and is governed by the commercial laws of the Bolivarian Republic of Venezuela.</w:t>
      </w:r>
    </w:p>
    <w:p>
      <w:pPr>
        <w:numPr>
          <w:ilvl w:val="0"/>
          <w:numId w:val="1001"/>
        </w:numPr>
        <w:pStyle w:val="Compact"/>
      </w:pPr>
      <w:r>
        <w:t xml:space="preserve">All dental supplies and equipment listed above must comply with the regulatory standards established by the</w:t>
      </w:r>
      <w:r>
        <w:t xml:space="preserve"> </w:t>
      </w:r>
      <w:r>
        <w:rPr>
          <w:iCs/>
          <w:i/>
        </w:rPr>
        <w:t xml:space="preserve">Ministerio del Poder Popular para la Salud</w:t>
      </w:r>
      <w:r>
        <w:t xml:space="preserve"> </w:t>
      </w:r>
      <w:r>
        <w:t xml:space="preserve">(MPPS) of Venezuela and the</w:t>
      </w:r>
      <w:r>
        <w:t xml:space="preserve"> </w:t>
      </w:r>
      <w:r>
        <w:rPr>
          <w:iCs/>
          <w:i/>
        </w:rPr>
        <w:t xml:space="preserve">Consejo Profesional de Odontología</w:t>
      </w:r>
      <w:r>
        <w:t xml:space="preserve"> </w:t>
      </w:r>
      <w:r>
        <w:t xml:space="preserve">(CPO) of the state of Miranda, where Caracas is located.</w:t>
      </w:r>
    </w:p>
    <w:p>
      <w:pPr>
        <w:numPr>
          <w:ilvl w:val="0"/>
          <w:numId w:val="1001"/>
        </w:numPr>
        <w:pStyle w:val="Compact"/>
      </w:pPr>
      <w:r>
        <w:t xml:space="preserve">The supplier, MedDental Distribuciones C.A., is a licensed distributor of dental products operating within the Caracas metropolitan area and is responsible for ensuring that all items meet the quality and safety certifications required for use in a Venezuelan dental clinic.</w:t>
      </w:r>
    </w:p>
    <w:p>
      <w:pPr>
        <w:numPr>
          <w:ilvl w:val="0"/>
          <w:numId w:val="1001"/>
        </w:numPr>
        <w:pStyle w:val="Compact"/>
      </w:pPr>
      <w:r>
        <w:t xml:space="preserve">Delivery must be made to the receiving address in Chacao, Caracas, no later than 28 June 2025. Late delivery beyond five (5) business days entitles the dental practice to a 5% discount on the total Purchase Order value.</w:t>
      </w:r>
    </w:p>
    <w:p>
      <w:pPr>
        <w:numPr>
          <w:ilvl w:val="0"/>
          <w:numId w:val="1001"/>
        </w:numPr>
        <w:pStyle w:val="Compact"/>
      </w:pPr>
      <w:r>
        <w:t xml:space="preserve">Payment shall be processed via bank transfer to the supplier's account at Banco Mercantil, Caracas branch, within thirty (30) calendar days of the date of the commercial invoice. The exchange rate for any USD-denominated components shall be the official BCV (Banco Central de Venezuela) rate on the day of payment.</w:t>
      </w:r>
    </w:p>
    <w:p>
      <w:pPr>
        <w:numPr>
          <w:ilvl w:val="0"/>
          <w:numId w:val="1001"/>
        </w:numPr>
        <w:pStyle w:val="Compact"/>
      </w:pPr>
      <w:r>
        <w:t xml:space="preserve">Cold-chain items (Line 4 and Line 7) must be transported in temperature-controlled packaging between 2°C and 8°C. The dental practice reserves the right to reject any shipment where temperature logs indicate deviation from this range.</w:t>
      </w:r>
    </w:p>
    <w:p>
      <w:pPr>
        <w:numPr>
          <w:ilvl w:val="0"/>
          <w:numId w:val="1001"/>
        </w:numPr>
        <w:pStyle w:val="Compact"/>
      </w:pPr>
      <w:r>
        <w:t xml:space="preserve">All dental instruments and handpieces (Line 3) must arrive with valid warranty documentation (minimum 12 months) and CE or FDA registration certificates as applicable for importation into Venezuela.</w:t>
      </w:r>
    </w:p>
    <w:p>
      <w:pPr>
        <w:numPr>
          <w:ilvl w:val="0"/>
          <w:numId w:val="1001"/>
        </w:numPr>
        <w:pStyle w:val="Compact"/>
      </w:pPr>
      <w:r>
        <w:t xml:space="preserve">This Purchase Order is valid for acceptance within ten (10) business days of the issue date. The supplier must confirm acceptance in writing via email to the purchasing department of the dental clinic.</w:t>
      </w:r>
    </w:p>
    <w:p>
      <w:pPr>
        <w:numPr>
          <w:ilvl w:val="0"/>
          <w:numId w:val="1001"/>
        </w:numPr>
        <w:pStyle w:val="Compact"/>
      </w:pPr>
      <w:r>
        <w:t xml:space="preserve">Any disputes arising from this Purchase Order shall be resolved through the commercial courts of the state of Miranda, Caracas, Venezuela, in accordance with the Venezuelan Commercial Code.</w:t>
      </w:r>
    </w:p>
    <w:bookmarkEnd w:id="25"/>
    <w:p>
      <w:pPr>
        <w:pStyle w:val="FirstParagraph"/>
      </w:pPr>
      <w:r>
        <w:rPr>
          <w:bCs/>
          <w:b/>
        </w:rPr>
        <w:t xml:space="preserve">Authorized by (Buyer)</w:t>
      </w:r>
      <w:r>
        <w:br/>
      </w:r>
      <w:r>
        <w:t xml:space="preserve">Dr. María Fernanda Rojas, DDS</w:t>
      </w:r>
      <w:r>
        <w:br/>
      </w:r>
      <w:r>
        <w:t xml:space="preserve">Director of Dental Operations</w:t>
      </w:r>
      <w:r>
        <w:br/>
      </w:r>
      <w:r>
        <w:t xml:space="preserve">Clínica Dental El Ávila, Caracas, Venezuela</w:t>
      </w:r>
      <w:r>
        <w:br/>
      </w:r>
      <w:r>
        <w:t xml:space="preserve">Date: _______________</w:t>
      </w:r>
    </w:p>
    <w:p>
      <w:pPr>
        <w:pStyle w:val="BodyText"/>
      </w:pPr>
      <w:r>
        <w:rPr>
          <w:bCs/>
          <w:b/>
        </w:rPr>
        <w:t xml:space="preserve">Accepted by (Supplier)</w:t>
      </w:r>
      <w:r>
        <w:br/>
      </w:r>
      <w:r>
        <w:t xml:space="preserve">Ing. Carlos Alberto Mendoza</w:t>
      </w:r>
      <w:r>
        <w:br/>
      </w:r>
      <w:r>
        <w:t xml:space="preserve">Sales Manager</w:t>
      </w:r>
      <w:r>
        <w:br/>
      </w:r>
      <w:r>
        <w:t xml:space="preserve">MedDental Distribuciones C.A., Caracas, Venezuela</w:t>
      </w:r>
      <w:r>
        <w:br/>
      </w:r>
      <w:r>
        <w:t xml:space="preserve">Date: _______________</w:t>
      </w:r>
    </w:p>
    <w:p>
      <w:pPr>
        <w:pStyle w:val="BodyText"/>
      </w:pPr>
      <w:r>
        <w:t xml:space="preserve">This Purchase Order document (PO No. VEN-CAR-2025-00487) was generated for the dental practice Clínica Dental El Ávila, located in Caracas, Venezuela. It constitutes a binding procurement record between the parties named herein. All references to dental products, equipment, and clinical supplies are subject to the regulatory framework of the Venezuelan Ministry of Health. Document reference: CDE-CAR-PO-2025-00487. For inquiries, contact the purchasing department at compras@clinicadentalelavila.com.ve.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Caracas, Venezuela</dc:title>
  <dc:creator/>
  <dc:language>en</dc:language>
  <cp:keywords/>
  <dcterms:created xsi:type="dcterms:W3CDTF">2026-10-10T09:19:52Z</dcterms:created>
  <dcterms:modified xsi:type="dcterms:W3CDTF">2026-10-10T09:19:52Z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