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Canada</w:t>
      </w:r>
      <w:r>
        <w:t xml:space="preserve"> </w:t>
      </w:r>
      <w:r>
        <w:t xml:space="preserve">Toronto</w:t>
      </w:r>
    </w:p>
    <w:bookmarkStart w:id="20" w:name="purchase-order"/>
    <w:p>
      <w:pPr>
        <w:pStyle w:val="Heading1"/>
      </w:pPr>
      <w:r>
        <w:t xml:space="preserve">PURCHASE ORDER</w:t>
      </w:r>
    </w:p>
    <w:p>
      <w:pPr>
        <w:pStyle w:val="FirstParagraph"/>
      </w:pPr>
      <w:r>
        <w:rPr>
          <w:bCs/>
          <w:b/>
        </w:rPr>
        <w:t xml:space="preserve">Northlake Medical Group Inc.</w:t>
      </w:r>
    </w:p>
    <w:p>
      <w:pPr>
        <w:pStyle w:val="BodyText"/>
      </w:pPr>
      <w:r>
        <w:t xml:space="preserve">4200 Yonge Street, Suite 850, Toronto, Ontario, Canada M5P 2B7</w:t>
      </w:r>
    </w:p>
    <w:p>
      <w:pPr>
        <w:pStyle w:val="BodyText"/>
      </w:pPr>
      <w:r>
        <w:t xml:space="preserve">Phone: (416) 555-0142 | Email: procurement@northlakemedical.ca</w:t>
      </w:r>
    </w:p>
    <w:p>
      <w:pPr>
        <w:pStyle w:val="BodyText"/>
      </w:pPr>
      <w:r>
        <w:t xml:space="preserve">Business Number (BN): 123456789RT0001 | HST Reg. No.: 123456789RT0001</w:t>
      </w:r>
    </w:p>
    <w:bookmarkEnd w:id="20"/>
    <w:p>
      <w:pPr>
        <w:pStyle w:val="BodyText"/>
      </w:pPr>
      <w:r>
        <w:rPr>
          <w:bCs/>
          <w:b/>
        </w:rPr>
        <w:t xml:space="preserve">Purchase Order No.:</w:t>
      </w:r>
      <w:r>
        <w:t xml:space="preserve"> </w:t>
      </w:r>
      <w:r>
        <w:t xml:space="preserve">PO-2025-GP-00847</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CAD (Canadian Dollars)</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Northlake Medical Group Inc.</w:t>
            </w:r>
          </w:p>
        </w:tc>
        <w:tc>
          <w:tcPr/>
          <w:p>
            <w:pPr>
              <w:pStyle w:val="Compact"/>
              <w:jc w:val="left"/>
            </w:pPr>
            <w:r>
              <w:rPr>
                <w:bCs/>
                <w:b/>
              </w:rPr>
              <w:t xml:space="preserve">Practice Type:</w:t>
            </w:r>
            <w:r>
              <w:t xml:space="preserve"> </w:t>
            </w:r>
            <w:r>
              <w:t xml:space="preserve">Doctor General Practitioner Clinic</w:t>
            </w:r>
          </w:p>
        </w:tc>
      </w:tr>
      <w:tr>
        <w:tc>
          <w:tcPr/>
          <w:p>
            <w:pPr>
              <w:pStyle w:val="Compact"/>
              <w:jc w:val="left"/>
            </w:pPr>
            <w:r>
              <w:rPr>
                <w:bCs/>
                <w:b/>
              </w:rPr>
              <w:t xml:space="preserve">Address:</w:t>
            </w:r>
            <w:r>
              <w:t xml:space="preserve"> </w:t>
            </w:r>
            <w:r>
              <w:t xml:space="preserve">4200 Yonge Street, Suite 850, Toronto, Ontario, Canada M5P 2B7</w:t>
            </w:r>
          </w:p>
        </w:tc>
        <w:tc>
          <w:tcPr/>
          <w:p>
            <w:pPr>
              <w:pStyle w:val="Compact"/>
              <w:jc w:val="left"/>
            </w:pPr>
            <w:r>
              <w:rPr>
                <w:bCs/>
                <w:b/>
              </w:rPr>
              <w:t xml:space="preserve">Province / Jurisdiction:</w:t>
            </w:r>
            <w:r>
              <w:t xml:space="preserve"> </w:t>
            </w:r>
            <w:r>
              <w:t xml:space="preserve">Ontario, Canada Toronto Region</w:t>
            </w:r>
          </w:p>
        </w:tc>
      </w:tr>
      <w:tr>
        <w:tc>
          <w:tcPr/>
          <w:p>
            <w:pPr>
              <w:pStyle w:val="Compact"/>
              <w:jc w:val="left"/>
            </w:pPr>
            <w:r>
              <w:rPr>
                <w:bCs/>
                <w:b/>
              </w:rPr>
              <w:t xml:space="preserve">Authorized Representative:</w:t>
            </w:r>
            <w:r>
              <w:t xml:space="preserve"> </w:t>
            </w:r>
            <w:r>
              <w:t xml:space="preserve">Dr. Margaret Chen, MD, FRCPC</w:t>
            </w:r>
          </w:p>
        </w:tc>
        <w:tc>
          <w:tcPr/>
          <w:p>
            <w:pPr>
              <w:pStyle w:val="Compact"/>
              <w:jc w:val="left"/>
            </w:pPr>
            <w:r>
              <w:rPr>
                <w:bCs/>
                <w:b/>
              </w:rPr>
              <w:t xml:space="preserve">Role:</w:t>
            </w:r>
            <w:r>
              <w:t xml:space="preserve"> </w:t>
            </w:r>
            <w:r>
              <w:t xml:space="preserve">Lead Doctor General Practitioner</w:t>
            </w:r>
          </w:p>
        </w:tc>
      </w:tr>
      <w:tr>
        <w:tc>
          <w:tcPr/>
          <w:p>
            <w:pPr>
              <w:pStyle w:val="Compact"/>
              <w:jc w:val="left"/>
            </w:pPr>
            <w:r>
              <w:rPr>
                <w:bCs/>
                <w:b/>
              </w:rPr>
              <w:t xml:space="preserve">Procurement Contact:</w:t>
            </w:r>
            <w:r>
              <w:t xml:space="preserve"> </w:t>
            </w:r>
            <w:r>
              <w:t xml:space="preserve">James Whitfield, Office Manager</w:t>
            </w:r>
          </w:p>
        </w:tc>
        <w:tc>
          <w:tcPr/>
          <w:p>
            <w:pPr>
              <w:pStyle w:val="Compact"/>
              <w:jc w:val="left"/>
            </w:pPr>
            <w:r>
              <w:rPr>
                <w:bCs/>
                <w:b/>
              </w:rPr>
              <w:t xml:space="preserve">Phone / Email:</w:t>
            </w:r>
            <w:r>
              <w:t xml:space="preserve"> </w:t>
            </w:r>
            <w:r>
              <w:t xml:space="preserve">(416) 555-0143 / j.whitfield@northlakemedical.ca</w:t>
            </w:r>
          </w:p>
        </w:tc>
      </w:tr>
    </w:tbl>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r>
              <w:t xml:space="preserve"> </w:t>
            </w:r>
            <w:r>
              <w:t xml:space="preserve">MedEquip Canada Solutions Ltd.</w:t>
            </w:r>
          </w:p>
        </w:tc>
        <w:tc>
          <w:tcPr/>
          <w:p>
            <w:pPr>
              <w:pStyle w:val="Compact"/>
              <w:jc w:val="left"/>
            </w:pPr>
            <w:r>
              <w:rPr>
                <w:bCs/>
                <w:b/>
              </w:rPr>
              <w:t xml:space="preserve">Supplier Tax ID:</w:t>
            </w:r>
            <w:r>
              <w:t xml:space="preserve"> </w:t>
            </w:r>
            <w:r>
              <w:t xml:space="preserve">987654321RT0001</w:t>
            </w:r>
          </w:p>
        </w:tc>
      </w:tr>
      <w:tr>
        <w:tc>
          <w:tcPr/>
          <w:p>
            <w:pPr>
              <w:pStyle w:val="Compact"/>
              <w:jc w:val="left"/>
            </w:pPr>
            <w:r>
              <w:rPr>
                <w:bCs/>
                <w:b/>
              </w:rPr>
              <w:t xml:space="preserve">Address:</w:t>
            </w:r>
            <w:r>
              <w:t xml:space="preserve"> </w:t>
            </w:r>
            <w:r>
              <w:t xml:space="preserve">1150 Bloor Street West, Unit 300, Toronto, Ontario, Canada M6G 1M3</w:t>
            </w:r>
          </w:p>
        </w:tc>
        <w:tc>
          <w:tcPr/>
          <w:p>
            <w:pPr>
              <w:pStyle w:val="Compact"/>
              <w:jc w:val="left"/>
            </w:pPr>
            <w:r>
              <w:rPr>
                <w:bCs/>
                <w:b/>
              </w:rPr>
              <w:t xml:space="preserve">Contact:</w:t>
            </w:r>
            <w:r>
              <w:t xml:space="preserve"> </w:t>
            </w:r>
            <w:r>
              <w:t xml:space="preserve">Sarah Okafor, Sales Director</w:t>
            </w:r>
          </w:p>
        </w:tc>
      </w:tr>
      <w:tr>
        <w:tc>
          <w:tcPr/>
          <w:p>
            <w:pPr>
              <w:pStyle w:val="Compact"/>
              <w:jc w:val="left"/>
            </w:pPr>
            <w:r>
              <w:rPr>
                <w:bCs/>
                <w:b/>
              </w:rPr>
              <w:t xml:space="preserve">Phone:</w:t>
            </w:r>
            <w:r>
              <w:t xml:space="preserve"> </w:t>
            </w:r>
            <w:r>
              <w:t xml:space="preserve">(416) 555-0298</w:t>
            </w:r>
          </w:p>
        </w:tc>
        <w:tc>
          <w:tcPr/>
          <w:p>
            <w:pPr>
              <w:pStyle w:val="Compact"/>
              <w:jc w:val="left"/>
            </w:pPr>
            <w:r>
              <w:rPr>
                <w:bCs/>
                <w:b/>
              </w:rPr>
              <w:t xml:space="preserve">Email:</w:t>
            </w:r>
            <w:r>
              <w:t xml:space="preserve"> </w:t>
            </w:r>
            <w:r>
              <w:t xml:space="preserve">s.okafor@medequipcanada.ca</w:t>
            </w:r>
          </w:p>
        </w:tc>
      </w:tr>
    </w:tbl>
    <w:p>
      <w:pPr>
        <w:pStyle w:val="BodyText"/>
      </w:pPr>
      <w:r>
        <w:t xml:space="preserve">Line Items – Doctor General Practitioner Practice Equipment &amp; Supplies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Line Total (CAD)</w:t>
            </w:r>
          </w:p>
        </w:tc>
      </w:tr>
      <w:tr>
        <w:tc>
          <w:tcPr/>
          <w:p>
            <w:pPr>
              <w:pStyle w:val="Compact"/>
              <w:jc w:val="left"/>
            </w:pPr>
            <w:r>
              <w:t xml:space="preserve">1</w:t>
            </w:r>
          </w:p>
        </w:tc>
        <w:tc>
          <w:tcPr/>
          <w:p>
            <w:pPr>
              <w:pStyle w:val="Compact"/>
              <w:jc w:val="left"/>
            </w:pPr>
            <w:r>
              <w:t xml:space="preserve">Electronic Stethoscope, Dual-Head, CE &amp; Health Canada Certified – for Doctor General Practitioner diagnostic use</w:t>
            </w:r>
          </w:p>
        </w:tc>
        <w:tc>
          <w:tcPr/>
          <w:p>
            <w:pPr>
              <w:pStyle w:val="Compact"/>
              <w:jc w:val="left"/>
            </w:pPr>
            <w:r>
              <w:t xml:space="preserve">4</w:t>
            </w:r>
          </w:p>
        </w:tc>
        <w:tc>
          <w:tcPr/>
          <w:p>
            <w:pPr>
              <w:pStyle w:val="Compact"/>
              <w:jc w:val="left"/>
            </w:pPr>
            <w:r>
              <w:t xml:space="preserve">$389.99</w:t>
            </w:r>
          </w:p>
        </w:tc>
        <w:tc>
          <w:tcPr/>
          <w:p>
            <w:pPr>
              <w:pStyle w:val="Compact"/>
              <w:jc w:val="left"/>
            </w:pPr>
            <w:r>
              <w:t xml:space="preserve">$1,559.96</w:t>
            </w:r>
          </w:p>
        </w:tc>
      </w:tr>
      <w:tr>
        <w:tc>
          <w:tcPr/>
          <w:p>
            <w:pPr>
              <w:pStyle w:val="Compact"/>
              <w:jc w:val="left"/>
            </w:pPr>
            <w:r>
              <w:t xml:space="preserve">2</w:t>
            </w:r>
          </w:p>
        </w:tc>
        <w:tc>
          <w:tcPr/>
          <w:p>
            <w:pPr>
              <w:pStyle w:val="Compact"/>
              <w:jc w:val="left"/>
            </w:pPr>
            <w:r>
              <w:t xml:space="preserve">Automatic Digital Blood Pressure Monitor, Upper Arm, Class II Medical Device – Toronto clinic standard</w:t>
            </w:r>
          </w:p>
        </w:tc>
        <w:tc>
          <w:tcPr/>
          <w:p>
            <w:pPr>
              <w:pStyle w:val="Compact"/>
              <w:jc w:val="left"/>
            </w:pPr>
            <w:r>
              <w:t xml:space="preserve">6</w:t>
            </w:r>
          </w:p>
        </w:tc>
        <w:tc>
          <w:tcPr/>
          <w:p>
            <w:pPr>
              <w:pStyle w:val="Compact"/>
              <w:jc w:val="left"/>
            </w:pPr>
            <w:r>
              <w:t xml:space="preserve">$214.50</w:t>
            </w:r>
          </w:p>
        </w:tc>
        <w:tc>
          <w:tcPr/>
          <w:p>
            <w:pPr>
              <w:pStyle w:val="Compact"/>
              <w:jc w:val="left"/>
            </w:pPr>
            <w:r>
              <w:t xml:space="preserve">$1,287.00</w:t>
            </w:r>
          </w:p>
        </w:tc>
      </w:tr>
      <w:tr>
        <w:tc>
          <w:tcPr/>
          <w:p>
            <w:pPr>
              <w:pStyle w:val="Compact"/>
              <w:jc w:val="left"/>
            </w:pPr>
            <w:r>
              <w:t xml:space="preserve">3</w:t>
            </w:r>
          </w:p>
        </w:tc>
        <w:tc>
          <w:tcPr/>
          <w:p>
            <w:pPr>
              <w:pStyle w:val="Compact"/>
              <w:jc w:val="left"/>
            </w:pPr>
            <w:r>
              <w:t xml:space="preserve">Patient Examination Table with Adjustable Backrest and Paper Roll Holder – Doctor General Practitioner consultation room</w:t>
            </w:r>
          </w:p>
        </w:tc>
        <w:tc>
          <w:tcPr/>
          <w:p>
            <w:pPr>
              <w:pStyle w:val="Compact"/>
              <w:jc w:val="left"/>
            </w:pPr>
            <w:r>
              <w:t xml:space="preserve">3</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4</w:t>
            </w:r>
          </w:p>
        </w:tc>
        <w:tc>
          <w:tcPr/>
          <w:p>
            <w:pPr>
              <w:pStyle w:val="Compact"/>
              <w:jc w:val="left"/>
            </w:pPr>
            <w:r>
              <w:t xml:space="preserve">Pulse Oximeter, Fingertip, Rechargeable, Health Canada Licensed – for Doctor General Practitioner patient monitoring</w:t>
            </w:r>
          </w:p>
        </w:tc>
        <w:tc>
          <w:tcPr/>
          <w:p>
            <w:pPr>
              <w:pStyle w:val="Compact"/>
              <w:jc w:val="left"/>
            </w:pPr>
            <w:r>
              <w:t xml:space="preserve">8</w:t>
            </w:r>
          </w:p>
        </w:tc>
        <w:tc>
          <w:tcPr/>
          <w:p>
            <w:pPr>
              <w:pStyle w:val="Compact"/>
              <w:jc w:val="left"/>
            </w:pPr>
            <w:r>
              <w:t xml:space="preserve">$67.25</w:t>
            </w:r>
          </w:p>
        </w:tc>
        <w:tc>
          <w:tcPr/>
          <w:p>
            <w:pPr>
              <w:pStyle w:val="Compact"/>
              <w:jc w:val="left"/>
            </w:pPr>
            <w:r>
              <w:t xml:space="preserve">$538.00</w:t>
            </w:r>
          </w:p>
        </w:tc>
      </w:tr>
      <w:tr>
        <w:tc>
          <w:tcPr/>
          <w:p>
            <w:pPr>
              <w:pStyle w:val="Compact"/>
              <w:jc w:val="left"/>
            </w:pPr>
            <w:r>
              <w:t xml:space="preserve">5</w:t>
            </w:r>
          </w:p>
        </w:tc>
        <w:tc>
          <w:tcPr/>
          <w:p>
            <w:pPr>
              <w:pStyle w:val="Compact"/>
              <w:jc w:val="left"/>
            </w:pPr>
            <w:r>
              <w:t xml:space="preserve">Portable ECG / EKG Machine, 12-Lead, with Printout – Doctor General Practitioner cardiac screening in Canada Toronto</w:t>
            </w:r>
          </w:p>
        </w:tc>
        <w:tc>
          <w:tcPr/>
          <w:p>
            <w:pPr>
              <w:pStyle w:val="Compact"/>
              <w:jc w:val="left"/>
            </w:pPr>
            <w:r>
              <w:t xml:space="preserve">2</w:t>
            </w:r>
          </w:p>
        </w:tc>
        <w:tc>
          <w:tcPr/>
          <w:p>
            <w:pPr>
              <w:pStyle w:val="Compact"/>
              <w:jc w:val="left"/>
            </w:pPr>
            <w:r>
              <w:t xml:space="preserve">$4,200.00</w:t>
            </w:r>
          </w:p>
        </w:tc>
        <w:tc>
          <w:tcPr/>
          <w:p>
            <w:pPr>
              <w:pStyle w:val="Compact"/>
              <w:jc w:val="left"/>
            </w:pPr>
            <w:r>
              <w:t xml:space="preserve">$8,400.00</w:t>
            </w:r>
          </w:p>
        </w:tc>
      </w:tr>
      <w:tr>
        <w:tc>
          <w:tcPr/>
          <w:p>
            <w:pPr>
              <w:pStyle w:val="Compact"/>
              <w:jc w:val="left"/>
            </w:pPr>
            <w:r>
              <w:t xml:space="preserve">6</w:t>
            </w:r>
          </w:p>
        </w:tc>
        <w:tc>
          <w:tcPr/>
          <w:p>
            <w:pPr>
              <w:pStyle w:val="Compact"/>
              <w:jc w:val="left"/>
            </w:pPr>
            <w:r>
              <w:t xml:space="preserve">Medical Refrigerator, 200L, Temperature-Logged, for Vaccine Storage – compliant with Ontario MOH guidelines</w:t>
            </w:r>
          </w:p>
        </w:tc>
        <w:tc>
          <w:tcPr/>
          <w:p>
            <w:pPr>
              <w:pStyle w:val="Compact"/>
              <w:jc w:val="left"/>
            </w:pPr>
            <w:r>
              <w:t xml:space="preserve">1</w:t>
            </w:r>
          </w:p>
        </w:tc>
        <w:tc>
          <w:tcPr/>
          <w:p>
            <w:pPr>
              <w:pStyle w:val="Compact"/>
              <w:jc w:val="left"/>
            </w:pPr>
            <w:r>
              <w:t xml:space="preserve">$3,750.00</w:t>
            </w:r>
          </w:p>
        </w:tc>
        <w:tc>
          <w:tcPr/>
          <w:p>
            <w:pPr>
              <w:pStyle w:val="Compact"/>
              <w:jc w:val="left"/>
            </w:pPr>
            <w:r>
              <w:t xml:space="preserve">$3,750.00</w:t>
            </w:r>
          </w:p>
        </w:tc>
      </w:tr>
      <w:tr>
        <w:tc>
          <w:tcPr/>
          <w:p>
            <w:pPr>
              <w:pStyle w:val="Compact"/>
              <w:jc w:val="left"/>
            </w:pPr>
            <w:r>
              <w:t xml:space="preserve">7</w:t>
            </w:r>
          </w:p>
        </w:tc>
        <w:tc>
          <w:tcPr/>
          <w:p>
            <w:pPr>
              <w:pStyle w:val="Compact"/>
              <w:jc w:val="left"/>
            </w:pPr>
            <w:r>
              <w:t xml:space="preserve">Disposable Nitrile Examination Gloves, Box of 100 (Medium) – Doctor General Practitioner clinic consumables, 12-month supply</w:t>
            </w:r>
          </w:p>
        </w:tc>
        <w:tc>
          <w:tcPr/>
          <w:p>
            <w:pPr>
              <w:pStyle w:val="Compact"/>
              <w:jc w:val="left"/>
            </w:pPr>
            <w:r>
              <w:t xml:space="preserve">144</w:t>
            </w:r>
          </w:p>
        </w:tc>
        <w:tc>
          <w:tcPr/>
          <w:p>
            <w:pPr>
              <w:pStyle w:val="Compact"/>
              <w:jc w:val="left"/>
            </w:pPr>
            <w:r>
              <w:t xml:space="preserve">$12.80</w:t>
            </w:r>
          </w:p>
        </w:tc>
        <w:tc>
          <w:tcPr/>
          <w:p>
            <w:pPr>
              <w:pStyle w:val="Compact"/>
              <w:jc w:val="left"/>
            </w:pPr>
            <w:r>
              <w:t xml:space="preserve">$1,843.20</w:t>
            </w:r>
          </w:p>
        </w:tc>
      </w:tr>
      <w:tr>
        <w:tc>
          <w:tcPr/>
          <w:p>
            <w:pPr>
              <w:pStyle w:val="Compact"/>
              <w:jc w:val="left"/>
            </w:pPr>
            <w:r>
              <w:t xml:space="preserve">8</w:t>
            </w:r>
          </w:p>
        </w:tc>
        <w:tc>
          <w:tcPr/>
          <w:p>
            <w:pPr>
              <w:pStyle w:val="Compact"/>
              <w:jc w:val="left"/>
            </w:pPr>
            <w:r>
              <w:t xml:space="preserve">Electronic Medical Records Software License, Annual Subscription, HIPAA &amp; PHIPA Compliant – Canada Toronto healthcare data standards</w:t>
            </w:r>
          </w:p>
        </w:tc>
        <w:tc>
          <w:tcPr/>
          <w:p>
            <w:pPr>
              <w:pStyle w:val="Compact"/>
              <w:jc w:val="left"/>
            </w:pPr>
            <w:r>
              <w:t xml:space="preserve">5</w:t>
            </w:r>
          </w:p>
        </w:tc>
        <w:tc>
          <w:tcPr/>
          <w:p>
            <w:pPr>
              <w:pStyle w:val="Compact"/>
              <w:jc w:val="left"/>
            </w:pPr>
            <w:r>
              <w:t xml:space="preserve">$1,200.00</w:t>
            </w:r>
          </w:p>
        </w:tc>
        <w:tc>
          <w:tcPr/>
          <w:p>
            <w:pPr>
              <w:pStyle w:val="Compact"/>
              <w:jc w:val="left"/>
            </w:pPr>
            <w:r>
              <w:t xml:space="preserve">$6,000.00</w:t>
            </w:r>
          </w:p>
        </w:tc>
      </w:tr>
      <w:tr>
        <w:tc>
          <w:tcPr/>
          <w:p>
            <w:pPr>
              <w:pStyle w:val="Compact"/>
              <w:jc w:val="left"/>
            </w:pPr>
            <w:r>
              <w:t xml:space="preserve">9</w:t>
            </w:r>
          </w:p>
        </w:tc>
        <w:tc>
          <w:tcPr/>
          <w:p>
            <w:pPr>
              <w:pStyle w:val="Compact"/>
              <w:jc w:val="left"/>
            </w:pPr>
            <w:r>
              <w:t xml:space="preserve">OTC First Aid &amp; Emergency Response Kit, Doctor General Practitioner Office Standard, Ontario Regulated</w:t>
            </w:r>
          </w:p>
        </w:tc>
        <w:tc>
          <w:tcPr/>
          <w:p>
            <w:pPr>
              <w:pStyle w:val="Compact"/>
              <w:jc w:val="left"/>
            </w:pPr>
            <w:r>
              <w:t xml:space="preserve">4</w:t>
            </w:r>
          </w:p>
        </w:tc>
        <w:tc>
          <w:tcPr/>
          <w:p>
            <w:pPr>
              <w:pStyle w:val="Compact"/>
              <w:jc w:val="left"/>
            </w:pPr>
            <w:r>
              <w:t xml:space="preserve">$185.00</w:t>
            </w:r>
          </w:p>
        </w:tc>
        <w:tc>
          <w:tcPr/>
          <w:p>
            <w:pPr>
              <w:pStyle w:val="Compact"/>
              <w:jc w:val="left"/>
            </w:pPr>
            <w:r>
              <w:t xml:space="preserve">$740.00</w:t>
            </w:r>
          </w:p>
        </w:tc>
      </w:tr>
      <w:tr>
        <w:tc>
          <w:tcPr/>
          <w:p>
            <w:pPr>
              <w:pStyle w:val="Compact"/>
              <w:jc w:val="left"/>
            </w:pPr>
            <w:r>
              <w:t xml:space="preserve">10</w:t>
            </w:r>
          </w:p>
        </w:tc>
        <w:tc>
          <w:tcPr/>
          <w:p>
            <w:pPr>
              <w:pStyle w:val="Compact"/>
              <w:jc w:val="left"/>
            </w:pPr>
            <w:r>
              <w:t xml:space="preserve">Thermometer, Infrared Forehead, Non-Contact, Health Canada Approved – Doctor General Practitioner triage station</w:t>
            </w:r>
          </w:p>
        </w:tc>
        <w:tc>
          <w:tcPr/>
          <w:p>
            <w:pPr>
              <w:pStyle w:val="Compact"/>
              <w:jc w:val="left"/>
            </w:pPr>
            <w:r>
              <w:t xml:space="preserve">6</w:t>
            </w:r>
          </w:p>
        </w:tc>
        <w:tc>
          <w:tcPr/>
          <w:p>
            <w:pPr>
              <w:pStyle w:val="Compact"/>
              <w:jc w:val="left"/>
            </w:pPr>
            <w:r>
              <w:t xml:space="preserve">$94.99</w:t>
            </w:r>
          </w:p>
        </w:tc>
        <w:tc>
          <w:tcPr/>
          <w:p>
            <w:pPr>
              <w:pStyle w:val="Compact"/>
              <w:jc w:val="left"/>
            </w:pPr>
            <w:r>
              <w:t xml:space="preserve">$569.94</w:t>
            </w:r>
          </w:p>
        </w:tc>
      </w:tr>
      <w:tr>
        <w:tc>
          <w:tcPr>
            <w:gridSpan w:val="4"/>
          </w:tcPr>
          <w:p>
            <w:pPr>
              <w:pStyle w:val="Compact"/>
              <w:jc w:val="right"/>
            </w:pPr>
            <w:r>
              <w:t xml:space="preserve">Subtotal (CAD):</w:t>
            </w:r>
          </w:p>
        </w:tc>
        <w:tc>
          <w:tcPr/>
          <w:p>
            <w:pPr>
              <w:pStyle w:val="Compact"/>
              <w:jc w:val="left"/>
            </w:pPr>
            <w:r>
              <w:t xml:space="preserve">$30,238.10</w:t>
            </w:r>
          </w:p>
        </w:tc>
      </w:tr>
      <w:tr>
        <w:tc>
          <w:tcPr>
            <w:gridSpan w:val="4"/>
          </w:tcPr>
          <w:p>
            <w:pPr>
              <w:pStyle w:val="Compact"/>
              <w:jc w:val="right"/>
            </w:pPr>
            <w:r>
              <w:t xml:space="preserve">HST (13% – Ontario, Canada Toronto):</w:t>
            </w:r>
          </w:p>
        </w:tc>
        <w:tc>
          <w:tcPr/>
          <w:p>
            <w:pPr>
              <w:pStyle w:val="Compact"/>
              <w:jc w:val="left"/>
            </w:pPr>
            <w:r>
              <w:t xml:space="preserve">$3,930.95</w:t>
            </w:r>
          </w:p>
        </w:tc>
      </w:tr>
      <w:tr>
        <w:tc>
          <w:tcPr>
            <w:gridSpan w:val="4"/>
          </w:tcPr>
          <w:p>
            <w:pPr>
              <w:pStyle w:val="Compact"/>
              <w:jc w:val="right"/>
            </w:pPr>
            <w:r>
              <w:rPr>
                <w:bCs/>
                <w:b/>
              </w:rPr>
              <w:t xml:space="preserve">Grand Total (CAD):</w:t>
            </w:r>
          </w:p>
        </w:tc>
        <w:tc>
          <w:tcPr/>
          <w:p>
            <w:pPr>
              <w:pStyle w:val="Compact"/>
              <w:jc w:val="left"/>
            </w:pPr>
            <w:r>
              <w:rPr>
                <w:bCs/>
                <w:b/>
              </w:rPr>
              <w:t xml:space="preserve">$34,169.05</w:t>
            </w:r>
          </w:p>
        </w:tc>
      </w:tr>
    </w:tbl>
    <w:p>
      <w:pPr>
        <w:pStyle w:val="BodyText"/>
      </w:pPr>
      <w:r>
        <w:rPr>
          <w:bCs/>
          <w:b/>
        </w:rPr>
        <w:t xml:space="preserve">Note:</w:t>
      </w:r>
      <w:r>
        <w:t xml:space="preserve"> </w:t>
      </w:r>
      <w:r>
        <w:t xml:space="preserve">All medical devices listed in this Purchase Order must carry valid Health Canada Medical Device Licences prior to delivery. The Doctor General Practitioner practice at Northlake Medical Group is subject to the Ontario College of Physicians and Surgeons (CPSO) standards and the Canada Toronto municipal health regulations. The supplier warrants that all items comply with the Medical Devices Regulations (SOR/98-282) and applicable provincial legislation in Ontario.</w:t>
      </w:r>
    </w:p>
    <w:p>
      <w:pPr>
        <w:pStyle w:val="BodyText"/>
      </w:pPr>
      <w:r>
        <w:t xml:space="preserve">Terms and Conditions</w:t>
      </w:r>
    </w:p>
    <w:p>
      <w:pPr>
        <w:numPr>
          <w:ilvl w:val="0"/>
          <w:numId w:val="1001"/>
        </w:numPr>
        <w:pStyle w:val="Compact"/>
      </w:pPr>
      <w:r>
        <w:rPr>
          <w:bCs/>
          <w:b/>
        </w:rPr>
        <w:t xml:space="preserve">Delivery:</w:t>
      </w:r>
      <w:r>
        <w:t xml:space="preserve"> </w:t>
      </w:r>
      <w:r>
        <w:t xml:space="preserve">All items referenced in this Purchase Order shall be delivered to the Doctor General Practitioner clinic premises at 4200 Yonge Street, Suite 850, Toronto, Ontario, Canada M5P 2B7, no later than July 15, 2025. Delivery shall be made between the hours of 8:00 AM and 4:00 PM, Monday through Friday, excluding Canada Toronto municipal holidays.</w:t>
      </w:r>
    </w:p>
    <w:p>
      <w:pPr>
        <w:numPr>
          <w:ilvl w:val="0"/>
          <w:numId w:val="1001"/>
        </w:numPr>
        <w:pStyle w:val="Compact"/>
      </w:pPr>
      <w:r>
        <w:rPr>
          <w:bCs/>
          <w:b/>
        </w:rPr>
        <w:t xml:space="preserve">Payment:</w:t>
      </w:r>
      <w:r>
        <w:t xml:space="preserve"> </w:t>
      </w:r>
      <w:r>
        <w:t xml:space="preserve">Payment of the full grand total of $34,169.05 CAD shall be made within thirty (30) calendar days of the date of invoice, via electronic funds transfer (EFT) to the supplier's designated Canadian banking institution. Late payments shall accrue interest at the rate of 1.5% per month as permitted under the Ontario Sale of Goods Act.</w:t>
      </w:r>
    </w:p>
    <w:p>
      <w:pPr>
        <w:numPr>
          <w:ilvl w:val="0"/>
          <w:numId w:val="1001"/>
        </w:numPr>
        <w:pStyle w:val="Compact"/>
      </w:pPr>
      <w:r>
        <w:rPr>
          <w:bCs/>
          <w:b/>
        </w:rPr>
        <w:t xml:space="preserve">Warranty:</w:t>
      </w:r>
      <w:r>
        <w:t xml:space="preserve"> </w:t>
      </w:r>
      <w:r>
        <w:t xml:space="preserve">The supplier guarantees that all equipment and supplies delivered under this Purchase Order are new, unused, and free from defects in materials and workmanship. A minimum two-year manufacturer's warranty applies to all electronic and mechanical devices. Consumable items are warranted to meet the specifications stated in the line-item descriptions.</w:t>
      </w:r>
    </w:p>
    <w:p>
      <w:pPr>
        <w:numPr>
          <w:ilvl w:val="0"/>
          <w:numId w:val="1001"/>
        </w:numPr>
        <w:pStyle w:val="Compact"/>
      </w:pPr>
      <w:r>
        <w:rPr>
          <w:bCs/>
          <w:b/>
        </w:rPr>
        <w:t xml:space="preserve">Compliance:</w:t>
      </w:r>
      <w:r>
        <w:t xml:space="preserve"> </w:t>
      </w:r>
      <w:r>
        <w:t xml:space="preserve">The supplier acknowledges that the end-user is a Doctor General Practitioner practice operating under the regulatory authority of the College of Physicians and Surgeons of Ontario and the Canada Toronto public health framework. All products must be labelled in accordance with the Food and Drugs Act and Regulations (Canada) and the Ontario Health Services Act.</w:t>
      </w:r>
    </w:p>
    <w:p>
      <w:pPr>
        <w:numPr>
          <w:ilvl w:val="0"/>
          <w:numId w:val="1001"/>
        </w:numPr>
        <w:pStyle w:val="Compact"/>
      </w:pPr>
      <w:r>
        <w:rPr>
          <w:bCs/>
          <w:b/>
        </w:rPr>
        <w:t xml:space="preserve">Inspection and Acceptance:</w:t>
      </w:r>
      <w:r>
        <w:t xml:space="preserve"> </w:t>
      </w:r>
      <w:r>
        <w:t xml:space="preserve">The Doctor General Practitioner clinic's designated receiving officer shall inspect all delivered goods within five (5) business days of delivery. Any items found to be damaged, incorrect, or non-conforming to the specifications in this Purchase Order must be reported in writing to the supplier within the same period. The supplier shall replace or credit non-conforming items within ten (10) business days at no additional cost.</w:t>
      </w:r>
    </w:p>
    <w:p>
      <w:pPr>
        <w:numPr>
          <w:ilvl w:val="0"/>
          <w:numId w:val="1001"/>
        </w:numPr>
        <w:pStyle w:val="Compact"/>
      </w:pPr>
      <w:r>
        <w:rPr>
          <w:bCs/>
          <w:b/>
        </w:rPr>
        <w:t xml:space="preserve">Intellectual Property and Data:</w:t>
      </w:r>
      <w:r>
        <w:t xml:space="preserve"> </w:t>
      </w:r>
      <w:r>
        <w:t xml:space="preserve">The electronic medical records software license (Item #8) is granted for use exclusively at the Canada Toronto clinic location. Data stored on the system is subject to the Personal Health Information Protection Act (PHIPA), Ontario, and the supplier shall not access, replicate, or transmit patient data without explicit written authorization from the Doctor General Practitioner practice.</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restrictions in Canada Toronto, or supply chain disruptions, provided that the affected party notifies the other in writing within forty-eight (48) hours.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Province of Ontario and the federal laws of Canada applicable therein. Any disputes shall be resolved through mediation in Toronto, Ontario, before proceeding to litigation in the Ontario Superior Court of Justice.</w:t>
      </w:r>
    </w:p>
    <w:p>
      <w:pPr>
        <w:numPr>
          <w:ilvl w:val="0"/>
          <w:numId w:val="1001"/>
        </w:numPr>
        <w:pStyle w:val="Compact"/>
      </w:pPr>
      <w:r>
        <w:rPr>
          <w:bCs/>
          <w:b/>
        </w:rPr>
        <w:t xml:space="preserve">Confidentiality:</w:t>
      </w:r>
      <w:r>
        <w:t xml:space="preserve"> </w:t>
      </w:r>
      <w:r>
        <w:t xml:space="preserve">Both parties agree to maintain the confidentiality of all business information, pricing, and patient-related data exchanged in connection with this Purchase Order. This obligation survives the termination or completion of the order for a period of three (3) years.</w:t>
      </w:r>
    </w:p>
    <w:p>
      <w:pPr>
        <w:pStyle w:val="FirstParagraph"/>
      </w:pPr>
      <w:r>
        <w:t xml:space="preserve">Authorization and Signatures</w:t>
      </w:r>
    </w:p>
    <w:p>
      <w:pPr>
        <w:pStyle w:val="BodyText"/>
      </w:pPr>
      <w:r>
        <w:rPr>
          <w:bCs/>
          <w:b/>
        </w:rPr>
        <w:t xml:space="preserve">Authorized by (Buyer – Doctor General Practitioner Practice):</w:t>
      </w:r>
    </w:p>
    <w:p>
      <w:pPr>
        <w:pStyle w:val="BodyText"/>
      </w:pPr>
      <w:r>
        <w:rPr>
          <w:bCs/>
          <w:b/>
        </w:rPr>
        <w:t xml:space="preserve">Name:</w:t>
      </w:r>
      <w:r>
        <w:t xml:space="preserve"> </w:t>
      </w:r>
      <w:r>
        <w:t xml:space="preserve">Dr. Margaret Chen, MD, FRCPC</w:t>
      </w:r>
      <w:r>
        <w:br/>
      </w:r>
      <w:r>
        <w:rPr>
          <w:bCs/>
          <w:b/>
        </w:rPr>
        <w:t xml:space="preserve">Title:</w:t>
      </w:r>
      <w:r>
        <w:t xml:space="preserve"> </w:t>
      </w:r>
      <w:r>
        <w:t xml:space="preserve">Lead Doctor General Practitioner, Northlake Medical Group Inc.</w:t>
      </w:r>
      <w:r>
        <w:br/>
      </w:r>
      <w:r>
        <w:rPr>
          <w:bCs/>
          <w:b/>
        </w:rPr>
        <w:t xml:space="preserve">Signature:</w:t>
      </w:r>
      <w:r>
        <w:t xml:space="preserve"> </w:t>
      </w:r>
      <w:r>
        <w:t xml:space="preserve">______________________________</w:t>
      </w:r>
      <w:r>
        <w:br/>
      </w:r>
      <w:r>
        <w:rPr>
          <w:bCs/>
          <w:b/>
        </w:rPr>
        <w:t xml:space="preserve">Date:</w:t>
      </w:r>
      <w:r>
        <w:t xml:space="preserve"> </w:t>
      </w:r>
      <w:r>
        <w:t xml:space="preserve">______________________________</w:t>
      </w:r>
    </w:p>
    <w:p>
      <w:pPr>
        <w:pStyle w:val="BodyText"/>
      </w:pPr>
      <w:r>
        <w:rPr>
          <w:bCs/>
          <w:b/>
        </w:rPr>
        <w:t xml:space="preserve">Accepted by (Supplier):</w:t>
      </w:r>
    </w:p>
    <w:p>
      <w:pPr>
        <w:pStyle w:val="BodyText"/>
      </w:pPr>
      <w:r>
        <w:rPr>
          <w:bCs/>
          <w:b/>
        </w:rPr>
        <w:t xml:space="preserve">Name:</w:t>
      </w:r>
      <w:r>
        <w:t xml:space="preserve"> </w:t>
      </w:r>
      <w:r>
        <w:t xml:space="preserve">Sarah Okafor</w:t>
      </w:r>
      <w:r>
        <w:br/>
      </w:r>
      <w:r>
        <w:rPr>
          <w:bCs/>
          <w:b/>
        </w:rPr>
        <w:t xml:space="preserve">Title:</w:t>
      </w:r>
      <w:r>
        <w:t xml:space="preserve"> </w:t>
      </w:r>
      <w:r>
        <w:t xml:space="preserve">Sales Director, MedEquip Canada Solutions Ltd.</w:t>
      </w:r>
      <w:r>
        <w:br/>
      </w:r>
      <w:r>
        <w:rPr>
          <w:bCs/>
          <w:b/>
        </w:rPr>
        <w:t xml:space="preserve">Signature:</w:t>
      </w:r>
      <w:r>
        <w:t xml:space="preserve"> </w:t>
      </w:r>
      <w:r>
        <w:t xml:space="preserve">______________________________</w:t>
      </w:r>
      <w:r>
        <w:br/>
      </w:r>
      <w:r>
        <w:rPr>
          <w:bCs/>
          <w:b/>
        </w:rPr>
        <w:t xml:space="preserve">Date:</w:t>
      </w:r>
      <w:r>
        <w:t xml:space="preserve"> </w:t>
      </w:r>
      <w:r>
        <w:t xml:space="preserve">______________________________</w:t>
      </w:r>
    </w:p>
    <w:p>
      <w:pPr>
        <w:pStyle w:val="BodyText"/>
      </w:pPr>
      <w:r>
        <w:t xml:space="preserve">This Purchase Order (PO-2025-GP-00847) is issued by Northlake Medical Group Inc., a Doctor General Practitioner practice located in Canada Toronto, Ontario. This document is valid for a period of sixty (60) days from the date of issue. For questions or amendments, contact the procurement office at (416) 555-0142. All transactions are subject to the Canada Toronto municipal business licensing requirements and Ontario provincial healthcare procurement regulations.</w:t>
      </w:r>
    </w:p>
    <w:p>
      <w:pPr>
        <w:pStyle w:val="BodyText"/>
      </w:pPr>
      <w:r>
        <w:t xml:space="preserve">© 2025 Northlake Medical Group Inc. All rights reserved. Document generated in accordance with Canadian commercial documentation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Canada Toronto</dc:title>
  <dc:creator/>
  <dc:language>en</dc:language>
  <cp:keywords/>
  <dcterms:created xsi:type="dcterms:W3CDTF">2026-10-10T06:48:24Z</dcterms:created>
  <dcterms:modified xsi:type="dcterms:W3CDTF">2026-10-10T06:48:24Z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