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Doctor</w:t>
      </w:r>
      <w:r>
        <w:t xml:space="preserve"> </w:t>
      </w:r>
      <w:r>
        <w:t xml:space="preserve">General</w:t>
      </w:r>
      <w:r>
        <w:t xml:space="preserve"> </w:t>
      </w:r>
      <w:r>
        <w:t xml:space="preserve">Practitioner</w:t>
      </w:r>
      <w:r>
        <w:t xml:space="preserve"> </w:t>
      </w:r>
      <w:r>
        <w:t xml:space="preserve">-</w:t>
      </w:r>
      <w:r>
        <w:t xml:space="preserve"> </w:t>
      </w:r>
      <w:r>
        <w:t xml:space="preserve">Colombia</w:t>
      </w:r>
      <w:r>
        <w:t xml:space="preserve"> </w:t>
      </w:r>
      <w:r>
        <w:t xml:space="preserve">Bogotá</w:t>
      </w:r>
    </w:p>
    <w:bookmarkStart w:id="20" w:name="purchase-order"/>
    <w:p>
      <w:pPr>
        <w:pStyle w:val="Heading1"/>
      </w:pPr>
      <w:r>
        <w:t xml:space="preserve">PURCHASE ORDER</w:t>
      </w:r>
    </w:p>
    <w:p>
      <w:pPr>
        <w:pStyle w:val="FirstParagraph"/>
      </w:pPr>
      <w:r>
        <w:t xml:space="preserve">Official Procurement Document — Medical Practice Supply &amp; Services Acquisition</w:t>
      </w:r>
    </w:p>
    <w:p>
      <w:pPr>
        <w:pStyle w:val="BodyText"/>
      </w:pPr>
      <w:r>
        <w:t xml:space="preserve">Issued for the Doctor General Practitioner — Colombia Bogotá</w:t>
      </w:r>
    </w:p>
    <w:bookmarkEnd w:id="20"/>
    <w:p>
      <w:pPr>
        <w:pStyle w:val="BodyText"/>
      </w:pPr>
      <w:r>
        <w:rPr>
          <w:bCs/>
          <w:b/>
        </w:rPr>
        <w:t xml:space="preserve">Purchase Order No.:</w:t>
      </w:r>
      <w:r>
        <w:t xml:space="preserve"> </w:t>
      </w:r>
      <w:r>
        <w:t xml:space="preserve">PO-COL-BGA-2025-04871</w:t>
      </w:r>
    </w:p>
    <w:p>
      <w:pPr>
        <w:pStyle w:val="BodyText"/>
      </w:pPr>
      <w:r>
        <w:rPr>
          <w:bCs/>
          <w:b/>
        </w:rPr>
        <w:t xml:space="preserve">Date of Issue:</w:t>
      </w:r>
      <w:r>
        <w:t xml:space="preserve"> </w:t>
      </w:r>
      <w:r>
        <w:t xml:space="preserve">June 12, 2025</w:t>
      </w:r>
    </w:p>
    <w:p>
      <w:pPr>
        <w:pStyle w:val="BodyText"/>
      </w:pPr>
      <w:r>
        <w:rPr>
          <w:bCs/>
          <w:b/>
        </w:rPr>
        <w:t xml:space="preserve">Required Delivery Date:</w:t>
      </w:r>
      <w:r>
        <w:t xml:space="preserve"> </w:t>
      </w:r>
      <w:r>
        <w:t xml:space="preserve">July 15, 2025</w:t>
      </w:r>
    </w:p>
    <w:p>
      <w:pPr>
        <w:pStyle w:val="BodyText"/>
      </w:pPr>
      <w:r>
        <w:rPr>
          <w:bCs/>
          <w:b/>
        </w:rPr>
        <w:t xml:space="preserve">Payment Terms:</w:t>
      </w:r>
      <w:r>
        <w:t xml:space="preserve"> </w:t>
      </w:r>
      <w:r>
        <w:t xml:space="preserve">Net 30 Days</w:t>
      </w:r>
    </w:p>
    <w:p>
      <w:pPr>
        <w:pStyle w:val="BodyText"/>
      </w:pPr>
      <w:r>
        <w:rPr>
          <w:bCs/>
          <w:b/>
        </w:rPr>
        <w:t xml:space="preserve">Currency:</w:t>
      </w:r>
      <w:r>
        <w:t xml:space="preserve"> </w:t>
      </w:r>
      <w:r>
        <w:t xml:space="preserve">Colombian Peso (COP)</w:t>
      </w:r>
    </w:p>
    <w:bookmarkStart w:id="23" w:name="parties-to-this-purchase-order"/>
    <w:p>
      <w:pPr>
        <w:pStyle w:val="Heading2"/>
      </w:pPr>
      <w:r>
        <w:t xml:space="preserve">1. Parties to This Purchase Order</w:t>
      </w:r>
    </w:p>
    <w:bookmarkStart w:id="21" w:name="buyer-receiving-party"/>
    <w:p>
      <w:pPr>
        <w:pStyle w:val="Heading3"/>
      </w:pPr>
      <w:r>
        <w:t xml:space="preserve">Buyer (Receiving Party)</w:t>
      </w:r>
    </w:p>
    <w:p>
      <w:pPr>
        <w:pStyle w:val="FirstParagraph"/>
      </w:pPr>
      <w:r>
        <w:rPr>
          <w:bCs/>
          <w:b/>
        </w:rPr>
        <w:t xml:space="preserve">Name:</w:t>
      </w:r>
      <w:r>
        <w:t xml:space="preserve"> </w:t>
      </w:r>
      <w:r>
        <w:t xml:space="preserve">Dr. Alejandro Ramírez Torres, M.D.</w:t>
      </w:r>
    </w:p>
    <w:p>
      <w:pPr>
        <w:pStyle w:val="BodyText"/>
      </w:pPr>
      <w:r>
        <w:rPr>
          <w:bCs/>
          <w:b/>
        </w:rPr>
        <w:t xml:space="preserve">Title:</w:t>
      </w:r>
      <w:r>
        <w:t xml:space="preserve"> </w:t>
      </w:r>
      <w:r>
        <w:t xml:space="preserve">Doctor General Practitioner</w:t>
      </w:r>
    </w:p>
    <w:p>
      <w:pPr>
        <w:pStyle w:val="BodyText"/>
      </w:pPr>
      <w:r>
        <w:rPr>
          <w:bCs/>
          <w:b/>
        </w:rPr>
        <w:t xml:space="preserve">Practice:</w:t>
      </w:r>
      <w:r>
        <w:t xml:space="preserve"> </w:t>
      </w:r>
      <w:r>
        <w:t xml:space="preserve">Clínica General Ramírez &amp; Asociados</w:t>
      </w:r>
    </w:p>
    <w:p>
      <w:pPr>
        <w:pStyle w:val="BodyText"/>
      </w:pPr>
      <w:r>
        <w:rPr>
          <w:bCs/>
          <w:b/>
        </w:rPr>
        <w:t xml:space="preserve">Address:</w:t>
      </w:r>
      <w:r>
        <w:t xml:space="preserve"> </w:t>
      </w:r>
      <w:r>
        <w:t xml:space="preserve">Calle 93 #15-42, Of. 301, Zona Rosa, Bogotá D.C., Colombia</w:t>
      </w:r>
    </w:p>
    <w:p>
      <w:pPr>
        <w:pStyle w:val="BodyText"/>
      </w:pPr>
      <w:r>
        <w:rPr>
          <w:bCs/>
          <w:b/>
        </w:rPr>
        <w:t xml:space="preserve">NIT:</w:t>
      </w:r>
      <w:r>
        <w:t xml:space="preserve"> </w:t>
      </w:r>
      <w:r>
        <w:t xml:space="preserve">901.234.567-8</w:t>
      </w:r>
    </w:p>
    <w:p>
      <w:pPr>
        <w:pStyle w:val="BodyText"/>
      </w:pPr>
      <w:r>
        <w:rPr>
          <w:bCs/>
          <w:b/>
        </w:rPr>
        <w:t xml:space="preserve">Phone:</w:t>
      </w:r>
      <w:r>
        <w:t xml:space="preserve"> </w:t>
      </w:r>
      <w:r>
        <w:t xml:space="preserve">+57 (601) 555 7842</w:t>
      </w:r>
    </w:p>
    <w:p>
      <w:pPr>
        <w:pStyle w:val="BodyText"/>
      </w:pPr>
      <w:r>
        <w:rPr>
          <w:bCs/>
          <w:b/>
        </w:rPr>
        <w:t xml:space="preserve">Email:</w:t>
      </w:r>
      <w:r>
        <w:t xml:space="preserve"> </w:t>
      </w:r>
      <w:r>
        <w:t xml:space="preserve">compras@clinicaramirez.co</w:t>
      </w:r>
    </w:p>
    <w:bookmarkEnd w:id="21"/>
    <w:bookmarkStart w:id="22" w:name="supplier-vending-party"/>
    <w:p>
      <w:pPr>
        <w:pStyle w:val="Heading3"/>
      </w:pPr>
      <w:r>
        <w:t xml:space="preserve">Supplier (Vending Party)</w:t>
      </w:r>
    </w:p>
    <w:p>
      <w:pPr>
        <w:pStyle w:val="FirstParagraph"/>
      </w:pPr>
      <w:r>
        <w:rPr>
          <w:bCs/>
          <w:b/>
        </w:rPr>
        <w:t xml:space="preserve">Name:</w:t>
      </w:r>
      <w:r>
        <w:t xml:space="preserve"> </w:t>
      </w:r>
      <w:r>
        <w:t xml:space="preserve">MedSupply Bogotá S.A.S.</w:t>
      </w:r>
    </w:p>
    <w:p>
      <w:pPr>
        <w:pStyle w:val="BodyText"/>
      </w:pPr>
      <w:r>
        <w:rPr>
          <w:bCs/>
          <w:b/>
        </w:rPr>
        <w:t xml:space="preserve">Representative:</w:t>
      </w:r>
      <w:r>
        <w:t xml:space="preserve"> </w:t>
      </w:r>
      <w:r>
        <w:t xml:space="preserve">Ing. Carolina Méndez, Commercial Director</w:t>
      </w:r>
    </w:p>
    <w:p>
      <w:pPr>
        <w:pStyle w:val="BodyText"/>
      </w:pPr>
      <w:r>
        <w:rPr>
          <w:bCs/>
          <w:b/>
        </w:rPr>
        <w:t xml:space="preserve">Address:</w:t>
      </w:r>
      <w:r>
        <w:t xml:space="preserve"> </w:t>
      </w:r>
      <w:r>
        <w:t xml:space="preserve">Av. El Dorado #68C-120, Piso 5, Bogotá D.C., Colombia</w:t>
      </w:r>
    </w:p>
    <w:p>
      <w:pPr>
        <w:pStyle w:val="BodyText"/>
      </w:pPr>
      <w:r>
        <w:rPr>
          <w:bCs/>
          <w:b/>
        </w:rPr>
        <w:t xml:space="preserve">NIT:</w:t>
      </w:r>
      <w:r>
        <w:t xml:space="preserve"> </w:t>
      </w:r>
      <w:r>
        <w:t xml:space="preserve">830.456.789-1</w:t>
      </w:r>
    </w:p>
    <w:p>
      <w:pPr>
        <w:pStyle w:val="BodyText"/>
      </w:pPr>
      <w:r>
        <w:rPr>
          <w:bCs/>
          <w:b/>
        </w:rPr>
        <w:t xml:space="preserve">Phone:</w:t>
      </w:r>
      <w:r>
        <w:t xml:space="preserve"> </w:t>
      </w:r>
      <w:r>
        <w:t xml:space="preserve">+57 (601) 555 3391</w:t>
      </w:r>
    </w:p>
    <w:p>
      <w:pPr>
        <w:pStyle w:val="BodyText"/>
      </w:pPr>
      <w:r>
        <w:rPr>
          <w:bCs/>
          <w:b/>
        </w:rPr>
        <w:t xml:space="preserve">Email:</w:t>
      </w:r>
      <w:r>
        <w:t xml:space="preserve"> </w:t>
      </w:r>
      <w:r>
        <w:t xml:space="preserve">ventas@medsupplybogota.co</w:t>
      </w:r>
    </w:p>
    <w:bookmarkEnd w:id="22"/>
    <w:bookmarkEnd w:id="23"/>
    <w:bookmarkStart w:id="24" w:name="purpose-and-scope-of-this-purchase-order"/>
    <w:p>
      <w:pPr>
        <w:pStyle w:val="Heading2"/>
      </w:pPr>
      <w:r>
        <w:t xml:space="preserve">2. Purpose and Scope of This Purchase Order</w:t>
      </w:r>
    </w:p>
    <w:p>
      <w:pPr>
        <w:pStyle w:val="FirstParagraph"/>
      </w:pPr>
      <w:r>
        <w:t xml:space="preserve">This Purchase Order is formally issued by the undersigned</w:t>
      </w:r>
      <w:r>
        <w:t xml:space="preserve"> </w:t>
      </w:r>
      <w:r>
        <w:t xml:space="preserve">Doctor General Practitioner</w:t>
      </w:r>
      <w:r>
        <w:t xml:space="preserve">, Dr. Alejandro Ramírez Torres, operating his primary care medical practice in</w:t>
      </w:r>
      <w:r>
        <w:t xml:space="preserve"> </w:t>
      </w:r>
      <w:r>
        <w:t xml:space="preserve">Colombia Bogotá</w:t>
      </w:r>
      <w:r>
        <w:t xml:space="preserve">, for the procurement of essential medical equipment, diagnostic instruments, pharmaceutical supplies, and professional services required to maintain and expand the clinical operations of Clínica General Ramírez &amp; Asociados. This Purchase Order constitutes a binding commitment to purchase the goods and services enumerated herein, subject to the terms, conditions, and regulatory compliance standards established by the Colombian Ministry of Health and Social Protection (Ministerio de Salud y Protección Social) and the applicable regulations of the Instituto Nacional de Vigilancia de Medicamentos y Alimentos (INVIMA).</w:t>
      </w:r>
    </w:p>
    <w:p>
      <w:pPr>
        <w:pStyle w:val="BodyText"/>
      </w:pPr>
      <w:r>
        <w:t xml:space="preserve">The</w:t>
      </w:r>
      <w:r>
        <w:t xml:space="preserve"> </w:t>
      </w:r>
      <w:r>
        <w:t xml:space="preserve">Doctor General Practitioner</w:t>
      </w:r>
      <w:r>
        <w:t xml:space="preserve"> </w:t>
      </w:r>
      <w:r>
        <w:t xml:space="preserve">acknowledges that all items listed in this Purchase Order must meet the quality, safety, and efficacy standards mandated for medical professionals practicing in</w:t>
      </w:r>
      <w:r>
        <w:t xml:space="preserve"> </w:t>
      </w:r>
      <w:r>
        <w:t xml:space="preserve">Colombia Bogotá</w:t>
      </w:r>
      <w:r>
        <w:t xml:space="preserve">. All medical devices and pharmaceutical products shall carry valid INVIMA registration numbers and comply with the technical regulations in force within the Republic of Colombia.</w:t>
      </w:r>
    </w:p>
    <w:bookmarkEnd w:id="24"/>
    <w:bookmarkStart w:id="25" w:name="line-items-goods-and-services-ordered"/>
    <w:p>
      <w:pPr>
        <w:pStyle w:val="Heading2"/>
      </w:pPr>
      <w:r>
        <w:t xml:space="preserve">3. Line Items — Goods and Services Ordered</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Unit Price (COP)</w:t>
            </w:r>
          </w:p>
        </w:tc>
        <w:tc>
          <w:tcPr/>
          <w:p>
            <w:pPr>
              <w:pStyle w:val="Compact"/>
              <w:jc w:val="left"/>
            </w:pPr>
            <w:r>
              <w:t xml:space="preserve">Subtotal (COP)</w:t>
            </w:r>
          </w:p>
        </w:tc>
      </w:tr>
      <w:tr>
        <w:tc>
          <w:tcPr/>
          <w:p>
            <w:pPr>
              <w:pStyle w:val="Compact"/>
              <w:jc w:val="left"/>
            </w:pPr>
            <w:r>
              <w:t xml:space="preserve">01</w:t>
            </w:r>
          </w:p>
        </w:tc>
        <w:tc>
          <w:tcPr/>
          <w:p>
            <w:pPr>
              <w:pStyle w:val="Compact"/>
              <w:jc w:val="left"/>
            </w:pPr>
            <w:r>
              <w:t xml:space="preserve">Digital Sphygmomanometer, Upper Arm, INVIMA Reg. No. 2024-1187 (for Doctor General Practitioner consultation room)</w:t>
            </w:r>
          </w:p>
        </w:tc>
        <w:tc>
          <w:tcPr/>
          <w:p>
            <w:pPr>
              <w:pStyle w:val="Compact"/>
              <w:jc w:val="left"/>
            </w:pPr>
            <w:r>
              <w:t xml:space="preserve">4</w:t>
            </w:r>
          </w:p>
        </w:tc>
        <w:tc>
          <w:tcPr/>
          <w:p>
            <w:pPr>
              <w:pStyle w:val="Compact"/>
              <w:jc w:val="left"/>
            </w:pPr>
            <w:r>
              <w:t xml:space="preserve">Units</w:t>
            </w:r>
          </w:p>
        </w:tc>
        <w:tc>
          <w:tcPr/>
          <w:p>
            <w:pPr>
              <w:pStyle w:val="Compact"/>
              <w:jc w:val="left"/>
            </w:pPr>
            <w:r>
              <w:t xml:space="preserve">485,000</w:t>
            </w:r>
          </w:p>
        </w:tc>
        <w:tc>
          <w:tcPr/>
          <w:p>
            <w:pPr>
              <w:pStyle w:val="Compact"/>
              <w:jc w:val="left"/>
            </w:pPr>
            <w:r>
              <w:t xml:space="preserve">1,940,000</w:t>
            </w:r>
          </w:p>
        </w:tc>
      </w:tr>
      <w:tr>
        <w:tc>
          <w:tcPr/>
          <w:p>
            <w:pPr>
              <w:pStyle w:val="Compact"/>
              <w:jc w:val="left"/>
            </w:pPr>
            <w:r>
              <w:t xml:space="preserve">02</w:t>
            </w:r>
          </w:p>
        </w:tc>
        <w:tc>
          <w:tcPr/>
          <w:p>
            <w:pPr>
              <w:pStyle w:val="Compact"/>
              <w:jc w:val="left"/>
            </w:pPr>
            <w:r>
              <w:t xml:space="preserve">Pneumatic Otoscope with LED Illumination, Pediatric and Adult Tips Included</w:t>
            </w:r>
          </w:p>
        </w:tc>
        <w:tc>
          <w:tcPr/>
          <w:p>
            <w:pPr>
              <w:pStyle w:val="Compact"/>
              <w:jc w:val="left"/>
            </w:pPr>
            <w:r>
              <w:t xml:space="preserve">6</w:t>
            </w:r>
          </w:p>
        </w:tc>
        <w:tc>
          <w:tcPr/>
          <w:p>
            <w:pPr>
              <w:pStyle w:val="Compact"/>
              <w:jc w:val="left"/>
            </w:pPr>
            <w:r>
              <w:t xml:space="preserve">Units</w:t>
            </w:r>
          </w:p>
        </w:tc>
        <w:tc>
          <w:tcPr/>
          <w:p>
            <w:pPr>
              <w:pStyle w:val="Compact"/>
              <w:jc w:val="left"/>
            </w:pPr>
            <w:r>
              <w:t xml:space="preserve">320,000</w:t>
            </w:r>
          </w:p>
        </w:tc>
        <w:tc>
          <w:tcPr/>
          <w:p>
            <w:pPr>
              <w:pStyle w:val="Compact"/>
              <w:jc w:val="left"/>
            </w:pPr>
            <w:r>
              <w:t xml:space="preserve">1,920,000</w:t>
            </w:r>
          </w:p>
        </w:tc>
      </w:tr>
      <w:tr>
        <w:tc>
          <w:tcPr/>
          <w:p>
            <w:pPr>
              <w:pStyle w:val="Compact"/>
              <w:jc w:val="left"/>
            </w:pPr>
            <w:r>
              <w:t xml:space="preserve">03</w:t>
            </w:r>
          </w:p>
        </w:tc>
        <w:tc>
          <w:tcPr/>
          <w:p>
            <w:pPr>
              <w:pStyle w:val="Compact"/>
              <w:jc w:val="left"/>
            </w:pPr>
            <w:r>
              <w:t xml:space="preserve">Portable Electrocardiograph (ECG), 12-Lead, with Bluetooth Connectivity for Doctor General Practitioner use in Bogotá clinics</w:t>
            </w:r>
          </w:p>
        </w:tc>
        <w:tc>
          <w:tcPr/>
          <w:p>
            <w:pPr>
              <w:pStyle w:val="Compact"/>
              <w:jc w:val="left"/>
            </w:pPr>
            <w:r>
              <w:t xml:space="preserve">2</w:t>
            </w:r>
          </w:p>
        </w:tc>
        <w:tc>
          <w:tcPr/>
          <w:p>
            <w:pPr>
              <w:pStyle w:val="Compact"/>
              <w:jc w:val="left"/>
            </w:pPr>
            <w:r>
              <w:t xml:space="preserve">Units</w:t>
            </w:r>
          </w:p>
        </w:tc>
        <w:tc>
          <w:tcPr/>
          <w:p>
            <w:pPr>
              <w:pStyle w:val="Compact"/>
              <w:jc w:val="left"/>
            </w:pPr>
            <w:r>
              <w:t xml:space="preserve">4,850,000</w:t>
            </w:r>
          </w:p>
        </w:tc>
        <w:tc>
          <w:tcPr/>
          <w:p>
            <w:pPr>
              <w:pStyle w:val="Compact"/>
              <w:jc w:val="left"/>
            </w:pPr>
            <w:r>
              <w:t xml:space="preserve">9,700,000</w:t>
            </w:r>
          </w:p>
        </w:tc>
      </w:tr>
      <w:tr>
        <w:tc>
          <w:tcPr/>
          <w:p>
            <w:pPr>
              <w:pStyle w:val="Compact"/>
              <w:jc w:val="left"/>
            </w:pPr>
            <w:r>
              <w:t xml:space="preserve">04</w:t>
            </w:r>
          </w:p>
        </w:tc>
        <w:tc>
          <w:tcPr/>
          <w:p>
            <w:pPr>
              <w:pStyle w:val="Compact"/>
              <w:jc w:val="left"/>
            </w:pPr>
            <w:r>
              <w:t xml:space="preserve">Point-of-Care Blood Glucose Analyzer with 500 Test Strips and Lancets (for routine screening in Colombia Bogotá primary care)</w:t>
            </w:r>
          </w:p>
        </w:tc>
        <w:tc>
          <w:tcPr/>
          <w:p>
            <w:pPr>
              <w:pStyle w:val="Compact"/>
              <w:jc w:val="left"/>
            </w:pPr>
            <w:r>
              <w:t xml:space="preserve">3</w:t>
            </w:r>
          </w:p>
        </w:tc>
        <w:tc>
          <w:tcPr/>
          <w:p>
            <w:pPr>
              <w:pStyle w:val="Compact"/>
              <w:jc w:val="left"/>
            </w:pPr>
            <w:r>
              <w:t xml:space="preserve">Units</w:t>
            </w:r>
          </w:p>
        </w:tc>
        <w:tc>
          <w:tcPr/>
          <w:p>
            <w:pPr>
              <w:pStyle w:val="Compact"/>
              <w:jc w:val="left"/>
            </w:pPr>
            <w:r>
              <w:t xml:space="preserve">1,250,000</w:t>
            </w:r>
          </w:p>
        </w:tc>
        <w:tc>
          <w:tcPr/>
          <w:p>
            <w:pPr>
              <w:pStyle w:val="Compact"/>
              <w:jc w:val="left"/>
            </w:pPr>
            <w:r>
              <w:t xml:space="preserve">3,750,000</w:t>
            </w:r>
          </w:p>
        </w:tc>
      </w:tr>
      <w:tr>
        <w:tc>
          <w:tcPr/>
          <w:p>
            <w:pPr>
              <w:pStyle w:val="Compact"/>
              <w:jc w:val="left"/>
            </w:pPr>
            <w:r>
              <w:t xml:space="preserve">05</w:t>
            </w:r>
          </w:p>
        </w:tc>
        <w:tc>
          <w:tcPr/>
          <w:p>
            <w:pPr>
              <w:pStyle w:val="Compact"/>
              <w:jc w:val="left"/>
            </w:pPr>
            <w:r>
              <w:t xml:space="preserve">Examination Table, Hydraulic, with Disposable Paper Roll System, 200 cm Length</w:t>
            </w:r>
          </w:p>
        </w:tc>
        <w:tc>
          <w:tcPr/>
          <w:p>
            <w:pPr>
              <w:pStyle w:val="Compact"/>
              <w:jc w:val="left"/>
            </w:pPr>
            <w:r>
              <w:t xml:space="preserve">3</w:t>
            </w:r>
          </w:p>
        </w:tc>
        <w:tc>
          <w:tcPr/>
          <w:p>
            <w:pPr>
              <w:pStyle w:val="Compact"/>
              <w:jc w:val="left"/>
            </w:pPr>
            <w:r>
              <w:t xml:space="preserve">Units</w:t>
            </w:r>
          </w:p>
        </w:tc>
        <w:tc>
          <w:tcPr/>
          <w:p>
            <w:pPr>
              <w:pStyle w:val="Compact"/>
              <w:jc w:val="left"/>
            </w:pPr>
            <w:r>
              <w:t xml:space="preserve">2,890,000</w:t>
            </w:r>
          </w:p>
        </w:tc>
        <w:tc>
          <w:tcPr/>
          <w:p>
            <w:pPr>
              <w:pStyle w:val="Compact"/>
              <w:jc w:val="left"/>
            </w:pPr>
            <w:r>
              <w:t xml:space="preserve">8,670,000</w:t>
            </w:r>
          </w:p>
        </w:tc>
      </w:tr>
      <w:tr>
        <w:tc>
          <w:tcPr/>
          <w:p>
            <w:pPr>
              <w:pStyle w:val="Compact"/>
              <w:jc w:val="left"/>
            </w:pPr>
            <w:r>
              <w:t xml:space="preserve">06</w:t>
            </w:r>
          </w:p>
        </w:tc>
        <w:tc>
          <w:tcPr/>
          <w:p>
            <w:pPr>
              <w:pStyle w:val="Compact"/>
              <w:jc w:val="left"/>
            </w:pPr>
            <w:r>
              <w:t xml:space="preserve">Disposable Nitrile Examination Gloves, Box of 100 (Sizes S, M, L) — 24-month supply for Doctor General Practitioner practice</w:t>
            </w:r>
          </w:p>
        </w:tc>
        <w:tc>
          <w:tcPr/>
          <w:p>
            <w:pPr>
              <w:pStyle w:val="Compact"/>
              <w:jc w:val="left"/>
            </w:pPr>
            <w:r>
              <w:t xml:space="preserve">120</w:t>
            </w:r>
          </w:p>
        </w:tc>
        <w:tc>
          <w:tcPr/>
          <w:p>
            <w:pPr>
              <w:pStyle w:val="Compact"/>
              <w:jc w:val="left"/>
            </w:pPr>
            <w:r>
              <w:t xml:space="preserve">Boxes</w:t>
            </w:r>
          </w:p>
        </w:tc>
        <w:tc>
          <w:tcPr/>
          <w:p>
            <w:pPr>
              <w:pStyle w:val="Compact"/>
              <w:jc w:val="left"/>
            </w:pPr>
            <w:r>
              <w:t xml:space="preserve">42,000</w:t>
            </w:r>
          </w:p>
        </w:tc>
        <w:tc>
          <w:tcPr/>
          <w:p>
            <w:pPr>
              <w:pStyle w:val="Compact"/>
              <w:jc w:val="left"/>
            </w:pPr>
            <w:r>
              <w:t xml:space="preserve">5,040,000</w:t>
            </w:r>
          </w:p>
        </w:tc>
      </w:tr>
      <w:tr>
        <w:tc>
          <w:tcPr/>
          <w:p>
            <w:pPr>
              <w:pStyle w:val="Compact"/>
              <w:jc w:val="left"/>
            </w:pPr>
            <w:r>
              <w:t xml:space="preserve">07</w:t>
            </w:r>
          </w:p>
        </w:tc>
        <w:tc>
          <w:tcPr/>
          <w:p>
            <w:pPr>
              <w:pStyle w:val="Compact"/>
              <w:jc w:val="left"/>
            </w:pPr>
            <w:r>
              <w:t xml:space="preserve">Sterile Gauze Pads, 4x4 inches, Box of 200 — 12-month supply</w:t>
            </w:r>
          </w:p>
        </w:tc>
        <w:tc>
          <w:tcPr/>
          <w:p>
            <w:pPr>
              <w:pStyle w:val="Compact"/>
              <w:jc w:val="left"/>
            </w:pPr>
            <w:r>
              <w:t xml:space="preserve">60</w:t>
            </w:r>
          </w:p>
        </w:tc>
        <w:tc>
          <w:tcPr/>
          <w:p>
            <w:pPr>
              <w:pStyle w:val="Compact"/>
              <w:jc w:val="left"/>
            </w:pPr>
            <w:r>
              <w:t xml:space="preserve">Boxes</w:t>
            </w:r>
          </w:p>
        </w:tc>
        <w:tc>
          <w:tcPr/>
          <w:p>
            <w:pPr>
              <w:pStyle w:val="Compact"/>
              <w:jc w:val="left"/>
            </w:pPr>
            <w:r>
              <w:t xml:space="preserve">38,500</w:t>
            </w:r>
          </w:p>
        </w:tc>
        <w:tc>
          <w:tcPr/>
          <w:p>
            <w:pPr>
              <w:pStyle w:val="Compact"/>
              <w:jc w:val="left"/>
            </w:pPr>
            <w:r>
              <w:t xml:space="preserve">2,310,000</w:t>
            </w:r>
          </w:p>
        </w:tc>
      </w:tr>
      <w:tr>
        <w:tc>
          <w:tcPr/>
          <w:p>
            <w:pPr>
              <w:pStyle w:val="Compact"/>
              <w:jc w:val="left"/>
            </w:pPr>
            <w:r>
              <w:t xml:space="preserve">08</w:t>
            </w:r>
          </w:p>
        </w:tc>
        <w:tc>
          <w:tcPr/>
          <w:p>
            <w:pPr>
              <w:pStyle w:val="Compact"/>
              <w:jc w:val="left"/>
            </w:pPr>
            <w:r>
              <w:t xml:space="preserve">Electronic Medical Records Software License (Annual), HIPAA-equivalent compliant, adapted for Colombian health data regulations (Ley 1581 de 2012)</w:t>
            </w:r>
          </w:p>
        </w:tc>
        <w:tc>
          <w:tcPr/>
          <w:p>
            <w:pPr>
              <w:pStyle w:val="Compact"/>
              <w:jc w:val="left"/>
            </w:pPr>
            <w:r>
              <w:t xml:space="preserve">1</w:t>
            </w:r>
          </w:p>
        </w:tc>
        <w:tc>
          <w:tcPr/>
          <w:p>
            <w:pPr>
              <w:pStyle w:val="Compact"/>
              <w:jc w:val="left"/>
            </w:pPr>
            <w:r>
              <w:t xml:space="preserve">License</w:t>
            </w:r>
          </w:p>
        </w:tc>
        <w:tc>
          <w:tcPr/>
          <w:p>
            <w:pPr>
              <w:pStyle w:val="Compact"/>
              <w:jc w:val="left"/>
            </w:pPr>
            <w:r>
              <w:t xml:space="preserve">12,500,000</w:t>
            </w:r>
          </w:p>
        </w:tc>
        <w:tc>
          <w:tcPr/>
          <w:p>
            <w:pPr>
              <w:pStyle w:val="Compact"/>
              <w:jc w:val="left"/>
            </w:pPr>
            <w:r>
              <w:t xml:space="preserve">12,500,000</w:t>
            </w:r>
          </w:p>
        </w:tc>
      </w:tr>
      <w:tr>
        <w:tc>
          <w:tcPr/>
          <w:p>
            <w:pPr>
              <w:pStyle w:val="Compact"/>
              <w:jc w:val="left"/>
            </w:pPr>
            <w:r>
              <w:t xml:space="preserve">09</w:t>
            </w:r>
          </w:p>
        </w:tc>
        <w:tc>
          <w:tcPr/>
          <w:p>
            <w:pPr>
              <w:pStyle w:val="Compact"/>
              <w:jc w:val="left"/>
            </w:pPr>
            <w:r>
              <w:t xml:space="preserve">Professional Installation, Calibration, and Training Service for all diagnostic equipment listed above (on-site in Bogotá D.C.)</w:t>
            </w:r>
          </w:p>
        </w:tc>
        <w:tc>
          <w:tcPr/>
          <w:p>
            <w:pPr>
              <w:pStyle w:val="Compact"/>
              <w:jc w:val="left"/>
            </w:pPr>
            <w:r>
              <w:t xml:space="preserve">1</w:t>
            </w:r>
          </w:p>
        </w:tc>
        <w:tc>
          <w:tcPr/>
          <w:p>
            <w:pPr>
              <w:pStyle w:val="Compact"/>
              <w:jc w:val="left"/>
            </w:pPr>
            <w:r>
              <w:t xml:space="preserve">Service</w:t>
            </w:r>
          </w:p>
        </w:tc>
        <w:tc>
          <w:tcPr/>
          <w:p>
            <w:pPr>
              <w:pStyle w:val="Compact"/>
              <w:jc w:val="left"/>
            </w:pPr>
            <w:r>
              <w:t xml:space="preserve">3,200,000</w:t>
            </w:r>
          </w:p>
        </w:tc>
        <w:tc>
          <w:tcPr/>
          <w:p>
            <w:pPr>
              <w:pStyle w:val="Compact"/>
              <w:jc w:val="left"/>
            </w:pPr>
            <w:r>
              <w:t xml:space="preserve">3,200,000</w:t>
            </w:r>
          </w:p>
        </w:tc>
      </w:tr>
      <w:tr>
        <w:tc>
          <w:tcPr/>
          <w:p>
            <w:pPr>
              <w:pStyle w:val="Compact"/>
              <w:jc w:val="left"/>
            </w:pPr>
            <w:r>
              <w:t xml:space="preserve">10</w:t>
            </w:r>
          </w:p>
        </w:tc>
        <w:tc>
          <w:tcPr/>
          <w:p>
            <w:pPr>
              <w:pStyle w:val="Compact"/>
              <w:jc w:val="left"/>
            </w:pPr>
            <w:r>
              <w:t xml:space="preserve">Annual Preventive Maintenance Contract for ECG and Blood Glucose Analyzers (12 months, 4 quarterly visits in Colombia Bogotá)</w:t>
            </w:r>
          </w:p>
        </w:tc>
        <w:tc>
          <w:tcPr/>
          <w:p>
            <w:pPr>
              <w:pStyle w:val="Compact"/>
              <w:jc w:val="left"/>
            </w:pPr>
            <w:r>
              <w:t xml:space="preserve">1</w:t>
            </w:r>
          </w:p>
        </w:tc>
        <w:tc>
          <w:tcPr/>
          <w:p>
            <w:pPr>
              <w:pStyle w:val="Compact"/>
              <w:jc w:val="left"/>
            </w:pPr>
            <w:r>
              <w:t xml:space="preserve">Contract</w:t>
            </w:r>
          </w:p>
        </w:tc>
        <w:tc>
          <w:tcPr/>
          <w:p>
            <w:pPr>
              <w:pStyle w:val="Compact"/>
              <w:jc w:val="left"/>
            </w:pPr>
            <w:r>
              <w:t xml:space="preserve">2,800,000</w:t>
            </w:r>
          </w:p>
        </w:tc>
        <w:tc>
          <w:tcPr/>
          <w:p>
            <w:pPr>
              <w:pStyle w:val="Compact"/>
              <w:jc w:val="left"/>
            </w:pPr>
            <w:r>
              <w:t xml:space="preserve">2,800,000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 (COP)</w:t>
            </w:r>
          </w:p>
        </w:tc>
        <w:tc>
          <w:tcPr/>
          <w:p>
            <w:pPr>
              <w:pStyle w:val="Compact"/>
              <w:jc w:val="right"/>
            </w:pPr>
            <w:r>
              <w:t xml:space="preserve">51,830,000</w:t>
            </w:r>
          </w:p>
        </w:tc>
      </w:tr>
      <w:tr>
        <w:tc>
          <w:tcPr/>
          <w:p>
            <w:pPr>
              <w:pStyle w:val="Compact"/>
              <w:jc w:val="left"/>
            </w:pPr>
            <w:r>
              <w:t xml:space="preserve">IVA (19% — Colombian Value Added Tax)</w:t>
            </w:r>
          </w:p>
        </w:tc>
        <w:tc>
          <w:tcPr/>
          <w:p>
            <w:pPr>
              <w:pStyle w:val="Compact"/>
              <w:jc w:val="right"/>
            </w:pPr>
            <w:r>
              <w:t xml:space="preserve">9,847,700</w:t>
            </w:r>
          </w:p>
        </w:tc>
      </w:tr>
      <w:tr>
        <w:tc>
          <w:tcPr/>
          <w:p>
            <w:pPr>
              <w:pStyle w:val="Compact"/>
              <w:jc w:val="left"/>
            </w:pPr>
            <w:r>
              <w:t xml:space="preserve">Delivery &amp; Installation (Bogotá D.C. metropolitan area)</w:t>
            </w:r>
          </w:p>
        </w:tc>
        <w:tc>
          <w:tcPr/>
          <w:p>
            <w:pPr>
              <w:pStyle w:val="Compact"/>
              <w:jc w:val="right"/>
            </w:pPr>
            <w:r>
              <w:t xml:space="preserve">450,000</w:t>
            </w:r>
          </w:p>
        </w:tc>
      </w:tr>
      <w:tr>
        <w:tc>
          <w:tcPr/>
          <w:p>
            <w:pPr>
              <w:pStyle w:val="Compact"/>
              <w:jc w:val="left"/>
            </w:pPr>
            <w:r>
              <w:t xml:space="preserve">GRAND TOTAL (COP)</w:t>
            </w:r>
          </w:p>
        </w:tc>
        <w:tc>
          <w:tcPr/>
          <w:p>
            <w:pPr>
              <w:pStyle w:val="Compact"/>
              <w:jc w:val="right"/>
            </w:pPr>
            <w:r>
              <w:t xml:space="preserve">62,127,700</w:t>
            </w:r>
          </w:p>
        </w:tc>
      </w:tr>
    </w:tbl>
    <w:bookmarkEnd w:id="25"/>
    <w:bookmarkStart w:id="26" w:name="delivery-and-logistics"/>
    <w:p>
      <w:pPr>
        <w:pStyle w:val="Heading2"/>
      </w:pPr>
      <w:r>
        <w:t xml:space="preserve">4. Delivery and Logistics</w:t>
      </w:r>
    </w:p>
    <w:p>
      <w:pPr>
        <w:pStyle w:val="FirstParagraph"/>
      </w:pPr>
      <w:r>
        <w:t xml:space="preserve">All goods specified in this Purchase Order shall be delivered to the practice premises of the</w:t>
      </w:r>
      <w:r>
        <w:t xml:space="preserve"> </w:t>
      </w:r>
      <w:r>
        <w:t xml:space="preserve">Doctor General Practitioner</w:t>
      </w:r>
      <w:r>
        <w:t xml:space="preserve"> </w:t>
      </w:r>
      <w:r>
        <w:t xml:space="preserve">located at Calle 93 #15-42, Of. 301, Zona Rosa,</w:t>
      </w:r>
      <w:r>
        <w:t xml:space="preserve"> </w:t>
      </w:r>
      <w:r>
        <w:t xml:space="preserve">Bogotá D.C., Colombia</w:t>
      </w:r>
      <w:r>
        <w:t xml:space="preserve">. The supplier, MedSupply Bogotá S.A.S., shall bear full responsibility for packaging, transportation, insurance, and safe handling of all items until they are received and inspected at the designated delivery address. Delivery must be completed no later than July 15, 2025. The supplier shall coordinate a delivery window between 8:00 a.m. and 12:00 p.m. to minimize disruption to the Doctor General Practitioner's patient consultations. All deliveries within the Bogotá D.C. metropolitan area are included in the quoted price. Any delivery to locations outside the immediate Bogotá district shall require a separate written amendment to this Purchase Order.</w:t>
      </w:r>
    </w:p>
    <w:bookmarkEnd w:id="26"/>
    <w:bookmarkStart w:id="27" w:name="terms-and-conditions"/>
    <w:p>
      <w:pPr>
        <w:pStyle w:val="Heading2"/>
      </w:pPr>
      <w:r>
        <w:t xml:space="preserve">5. Terms and Conditions</w:t>
      </w:r>
    </w:p>
    <w:p>
      <w:pPr>
        <w:numPr>
          <w:ilvl w:val="0"/>
          <w:numId w:val="1001"/>
        </w:numPr>
        <w:pStyle w:val="Compact"/>
      </w:pPr>
      <w:r>
        <w:rPr>
          <w:bCs/>
          <w:b/>
        </w:rPr>
        <w:t xml:space="preserve">5.1</w:t>
      </w:r>
      <w:r>
        <w:t xml:space="preserve"> </w:t>
      </w:r>
      <w:r>
        <w:t xml:space="preserve">This Purchase Order is governed by the Commercial Code of Colombia (Código de Comercio) and applicable regulations of the Superintendencia de Industria y Comercio (SIC).</w:t>
      </w:r>
    </w:p>
    <w:p>
      <w:pPr>
        <w:numPr>
          <w:ilvl w:val="0"/>
          <w:numId w:val="1001"/>
        </w:numPr>
        <w:pStyle w:val="Compact"/>
      </w:pPr>
      <w:r>
        <w:rPr>
          <w:bCs/>
          <w:b/>
        </w:rPr>
        <w:t xml:space="preserve">5.2</w:t>
      </w:r>
      <w:r>
        <w:t xml:space="preserve"> </w:t>
      </w:r>
      <w:r>
        <w:t xml:space="preserve">Payment shall be made via bank transfer (transferencia electrónica) to the supplier's designated account within thirty (30) calendar days from the date of receipt of the valid invoice (factura electrónica) and confirmed delivery of all items listed in this Purchase Order.</w:t>
      </w:r>
    </w:p>
    <w:p>
      <w:pPr>
        <w:numPr>
          <w:ilvl w:val="0"/>
          <w:numId w:val="1001"/>
        </w:numPr>
        <w:pStyle w:val="Compact"/>
      </w:pPr>
      <w:r>
        <w:rPr>
          <w:bCs/>
          <w:b/>
        </w:rPr>
        <w:t xml:space="preserve">5.3</w:t>
      </w:r>
      <w:r>
        <w:t xml:space="preserve"> </w:t>
      </w:r>
      <w:r>
        <w:t xml:space="preserve">The Doctor General Practitioner reserves the right to inspect all delivered goods within five (5) business days of receipt. Any item found to be defective, damaged, or non-conforming to the specifications stated in this Purchase Order shall be replaced at the supplier's sole expense within ten (10) business days.</w:t>
      </w:r>
    </w:p>
    <w:p>
      <w:pPr>
        <w:numPr>
          <w:ilvl w:val="0"/>
          <w:numId w:val="1001"/>
        </w:numPr>
        <w:pStyle w:val="Compact"/>
      </w:pPr>
      <w:r>
        <w:rPr>
          <w:bCs/>
          <w:b/>
        </w:rPr>
        <w:t xml:space="preserve">5.4</w:t>
      </w:r>
      <w:r>
        <w:t xml:space="preserve"> </w:t>
      </w:r>
      <w:r>
        <w:t xml:space="preserve">All medical devices and pharmaceutical supplies must carry valid INVIMA registration. The supplier shall provide copies of all registration certificates, technical data sheets, and certificates of origin upon delivery.</w:t>
      </w:r>
    </w:p>
    <w:p>
      <w:pPr>
        <w:numPr>
          <w:ilvl w:val="0"/>
          <w:numId w:val="1001"/>
        </w:numPr>
        <w:pStyle w:val="Compact"/>
      </w:pPr>
      <w:r>
        <w:rPr>
          <w:bCs/>
          <w:b/>
        </w:rPr>
        <w:t xml:space="preserve">5.5</w:t>
      </w:r>
      <w:r>
        <w:t xml:space="preserve"> </w:t>
      </w:r>
      <w:r>
        <w:t xml:space="preserve">The supplier warrants that all equipment is new, unused, and free from defects in materials and workmanship for a minimum period of twenty-four (24) months from the date of delivery in Colombia Bogotá.</w:t>
      </w:r>
    </w:p>
    <w:p>
      <w:pPr>
        <w:numPr>
          <w:ilvl w:val="0"/>
          <w:numId w:val="1001"/>
        </w:numPr>
        <w:pStyle w:val="Compact"/>
      </w:pPr>
      <w:r>
        <w:rPr>
          <w:bCs/>
          <w:b/>
        </w:rPr>
        <w:t xml:space="preserve">5.6</w:t>
      </w:r>
      <w:r>
        <w:t xml:space="preserve"> </w:t>
      </w:r>
      <w:r>
        <w:t xml:space="preserve">This Purchase Order may not be assigned or transferred by either party without the prior written consent of the other party.</w:t>
      </w:r>
    </w:p>
    <w:p>
      <w:pPr>
        <w:numPr>
          <w:ilvl w:val="0"/>
          <w:numId w:val="1001"/>
        </w:numPr>
        <w:pStyle w:val="Compact"/>
      </w:pPr>
      <w:r>
        <w:rPr>
          <w:bCs/>
          <w:b/>
        </w:rPr>
        <w:t xml:space="preserve">5.7</w:t>
      </w:r>
      <w:r>
        <w:t xml:space="preserve"> </w:t>
      </w:r>
      <w:r>
        <w:t xml:space="preserve">In the event of a dispute arising from this Purchase Order, both parties agree to attempt resolution through mediation before the Cámara de Comercio de Bogotá. If mediation fails, the matter shall be submitted to the competent commercial courts of Bogotá D.C., Colombia.</w:t>
      </w:r>
    </w:p>
    <w:p>
      <w:pPr>
        <w:numPr>
          <w:ilvl w:val="0"/>
          <w:numId w:val="1001"/>
        </w:numPr>
        <w:pStyle w:val="Compact"/>
      </w:pPr>
      <w:r>
        <w:rPr>
          <w:bCs/>
          <w:b/>
        </w:rPr>
        <w:t xml:space="preserve">5.8</w:t>
      </w:r>
      <w:r>
        <w:t xml:space="preserve"> </w:t>
      </w:r>
      <w:r>
        <w:t xml:space="preserve">The Doctor General Practitioner shall not be held liable for delays in payment caused by force majeure events, including but not limited to natural disasters, government-mandated closures, or public health emergencies affecting operations in Colombia Bogotá.</w:t>
      </w:r>
    </w:p>
    <w:bookmarkEnd w:id="27"/>
    <w:bookmarkStart w:id="28" w:name="compliance-and-regulatory-acknowledgment"/>
    <w:p>
      <w:pPr>
        <w:pStyle w:val="Heading2"/>
      </w:pPr>
      <w:r>
        <w:t xml:space="preserve">6. Compliance and Regulatory Acknowledgment</w:t>
      </w:r>
    </w:p>
    <w:p>
      <w:pPr>
        <w:pStyle w:val="FirstParagraph"/>
      </w:pPr>
      <w:r>
        <w:t xml:space="preserve">The undersigned Doctor General Practitioner confirms that this Purchase Order is issued in full compliance with the professional regulations of the Colegio Médico de Colombia, the data protection standards of Ley 1581 de 2012, and all applicable health sector regulations in force in Colombia Bogotá. The supplier acknowledges that all products and services procured under this Purchase Order are intended exclusively for use in a licensed primary care medical practice and shall not be resold or diverted for any other purpose without written authorization.</w:t>
      </w:r>
    </w:p>
    <w:bookmarkEnd w:id="28"/>
    <w:p>
      <w:pPr>
        <w:pStyle w:val="BodyText"/>
      </w:pPr>
      <w:r>
        <w:rPr>
          <w:bCs/>
          <w:b/>
        </w:rPr>
        <w:t xml:space="preserve">NOTE:</w:t>
      </w:r>
      <w:r>
        <w:t xml:space="preserve"> </w:t>
      </w:r>
      <w:r>
        <w:t xml:space="preserve">This Purchase Order is valid for acceptance within fifteen (15) calendar days from the date of issue. Failure to confirm acceptance by the supplier within this period shall render this Purchase Order null and void. All communications regarding this Purchase Order shall be directed to the email addresses specified in Section 1.</w:t>
      </w:r>
    </w:p>
    <w:p>
      <w:pPr>
        <w:pStyle w:val="BodyText"/>
      </w:pPr>
      <w:r>
        <w:rPr>
          <w:bCs/>
          <w:b/>
        </w:rPr>
        <w:t xml:space="preserve">Dr. Alejandro Ramírez Torres, M.D.</w:t>
      </w:r>
      <w:r>
        <w:br/>
      </w:r>
      <w:r>
        <w:t xml:space="preserve">Doctor General Practitioner</w:t>
      </w:r>
      <w:r>
        <w:br/>
      </w:r>
      <w:r>
        <w:t xml:space="preserve">Clínica General Ramírez &amp; Asociados</w:t>
      </w:r>
      <w:r>
        <w:br/>
      </w:r>
      <w:r>
        <w:t xml:space="preserve">Bogotá D.C., Colombia</w:t>
      </w:r>
      <w:r>
        <w:br/>
      </w:r>
      <w:r>
        <w:t xml:space="preserve">Date: _______________</w:t>
      </w:r>
    </w:p>
    <w:p>
      <w:pPr>
        <w:pStyle w:val="BodyText"/>
      </w:pPr>
      <w:r>
        <w:rPr>
          <w:bCs/>
          <w:b/>
        </w:rPr>
        <w:t xml:space="preserve">Ing. Carolina Méndez</w:t>
      </w:r>
      <w:r>
        <w:br/>
      </w:r>
      <w:r>
        <w:t xml:space="preserve">Commercial Director</w:t>
      </w:r>
      <w:r>
        <w:br/>
      </w:r>
      <w:r>
        <w:t xml:space="preserve">MedSupply Bogotá S.A.S.</w:t>
      </w:r>
      <w:r>
        <w:br/>
      </w:r>
      <w:r>
        <w:t xml:space="preserve">Bogotá D.C., Colombia</w:t>
      </w:r>
      <w:r>
        <w:br/>
      </w:r>
      <w:r>
        <w:t xml:space="preserve">Date: _______________</w:t>
      </w:r>
    </w:p>
    <w:p>
      <w:pPr>
        <w:pStyle w:val="BodyText"/>
      </w:pPr>
      <w:r>
        <w:t xml:space="preserve">Purchase Order No. PO-COL-BGA-2025-04871 — Issued for the Doctor General Practitioner — Colombia Bogotá</w:t>
      </w:r>
      <w:r>
        <w:br/>
      </w:r>
      <w:r>
        <w:t xml:space="preserve">This document is electronically generated and carries the same legal validity as a signed original under Colombian law (Ley 527 de 1999 — Electronic Commerce).</w:t>
      </w:r>
      <w:r>
        <w:br/>
      </w:r>
      <w:r>
        <w:t xml:space="preserve">© 2025 Clínica General Ramírez &amp; Asociados.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Doctor General Practitioner - Colombia Bogotá</dc:title>
  <dc:creator/>
  <dc:language>en</dc:language>
  <cp:keywords/>
  <dcterms:created xsi:type="dcterms:W3CDTF">2026-10-10T08:07:03Z</dcterms:created>
  <dcterms:modified xsi:type="dcterms:W3CDTF">2026-10-10T08:07:03Z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