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Colombia</w:t>
      </w:r>
      <w:r>
        <w:t xml:space="preserve"> </w:t>
      </w:r>
      <w:r>
        <w:t xml:space="preserve">Medellín</w:t>
      </w:r>
    </w:p>
    <w:bookmarkStart w:id="20" w:name="purchase-order"/>
    <w:p>
      <w:pPr>
        <w:pStyle w:val="Heading1"/>
      </w:pPr>
      <w:r>
        <w:t xml:space="preserve">PURCHASE ORDER</w:t>
      </w:r>
    </w:p>
    <w:p>
      <w:pPr>
        <w:pStyle w:val="FirstParagraph"/>
      </w:pPr>
      <w:r>
        <w:t xml:space="preserve">Clínica San Benito – Doctor General Practitioner Services</w:t>
      </w:r>
    </w:p>
    <w:p>
      <w:pPr>
        <w:pStyle w:val="BodyText"/>
      </w:pPr>
      <w:r>
        <w:t xml:space="preserve">Medellín, Antioquia, Colombia</w:t>
      </w:r>
    </w:p>
    <w:p>
      <w:pPr>
        <w:pStyle w:val="BodyText"/>
      </w:pPr>
      <w:r>
        <w:t xml:space="preserve">Calle 43 # 43A-15, El Poblado, Medellín, Colombia</w:t>
      </w:r>
    </w:p>
    <w:bookmarkEnd w:id="20"/>
    <w:p>
      <w:pPr>
        <w:pStyle w:val="BodyText"/>
      </w:pPr>
      <w:r>
        <w:rPr>
          <w:bCs/>
          <w:b/>
        </w:rPr>
        <w:t xml:space="preserve">Purchase Order No.:</w:t>
      </w:r>
      <w:r>
        <w:t xml:space="preserve"> </w:t>
      </w:r>
      <w:r>
        <w:t xml:space="preserve">PO-MED-2025-04871</w:t>
      </w:r>
    </w:p>
    <w:p>
      <w:pPr>
        <w:pStyle w:val="BodyText"/>
      </w:pPr>
      <w:r>
        <w:rPr>
          <w:bCs/>
          <w:b/>
        </w:rPr>
        <w:t xml:space="preserve">Date of Issue:</w:t>
      </w:r>
      <w:r>
        <w:t xml:space="preserve"> </w:t>
      </w:r>
      <w:r>
        <w:t xml:space="preserve">June 12, 2025</w:t>
      </w:r>
    </w:p>
    <w:p>
      <w:pPr>
        <w:pStyle w:val="BodyText"/>
      </w:pPr>
      <w:r>
        <w:rPr>
          <w:bCs/>
          <w:b/>
        </w:rPr>
        <w:t xml:space="preserve">Delivery Deadline: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1. PARTIES INVOLVED</w:t>
      </w:r>
    </w:p>
    <w:bookmarkStart w:id="21" w:name="buyer-requisitioning-party"/>
    <w:p>
      <w:pPr>
        <w:pStyle w:val="Heading3"/>
      </w:pPr>
      <w:r>
        <w:t xml:space="preserve">BUYER (Requisitioning Party)</w:t>
      </w:r>
    </w:p>
    <w:p>
      <w:pPr>
        <w:pStyle w:val="FirstParagraph"/>
      </w:pPr>
      <w:r>
        <w:rPr>
          <w:bCs/>
          <w:b/>
        </w:rPr>
        <w:t xml:space="preserve">Entity:</w:t>
      </w:r>
      <w:r>
        <w:t xml:space="preserve"> </w:t>
      </w:r>
      <w:r>
        <w:t xml:space="preserve">Clínica San Benito S.A.S.</w:t>
      </w:r>
    </w:p>
    <w:p>
      <w:pPr>
        <w:pStyle w:val="BodyText"/>
      </w:pPr>
      <w:r>
        <w:rPr>
          <w:bCs/>
          <w:b/>
        </w:rPr>
        <w:t xml:space="preserve">Represented by:</w:t>
      </w:r>
      <w:r>
        <w:t xml:space="preserve"> </w:t>
      </w:r>
      <w:r>
        <w:t xml:space="preserve">Dr. Alejandro Restrepo, Doctor General Practitioner</w:t>
      </w:r>
    </w:p>
    <w:p>
      <w:pPr>
        <w:pStyle w:val="BodyText"/>
      </w:pPr>
      <w:r>
        <w:rPr>
          <w:bCs/>
          <w:b/>
        </w:rPr>
        <w:t xml:space="preserve">Address:</w:t>
      </w:r>
      <w:r>
        <w:t xml:space="preserve"> </w:t>
      </w:r>
      <w:r>
        <w:t xml:space="preserve">Calle 43 # 43A-15, El Poblado</w:t>
      </w:r>
    </w:p>
    <w:p>
      <w:pPr>
        <w:pStyle w:val="BodyText"/>
      </w:pPr>
      <w:r>
        <w:rPr>
          <w:bCs/>
          <w:b/>
        </w:rPr>
        <w:t xml:space="preserve">City:</w:t>
      </w:r>
      <w:r>
        <w:t xml:space="preserve"> </w:t>
      </w:r>
      <w:r>
        <w:t xml:space="preserve">Medellín, Antioquia, Colombia</w:t>
      </w:r>
    </w:p>
    <w:p>
      <w:pPr>
        <w:pStyle w:val="BodyText"/>
      </w:pPr>
      <w:r>
        <w:rPr>
          <w:bCs/>
          <w:b/>
        </w:rPr>
        <w:t xml:space="preserve">NIT:</w:t>
      </w:r>
      <w:r>
        <w:t xml:space="preserve"> </w:t>
      </w:r>
      <w:r>
        <w:t xml:space="preserve">901.234.567-8</w:t>
      </w:r>
    </w:p>
    <w:p>
      <w:pPr>
        <w:pStyle w:val="BodyText"/>
      </w:pPr>
      <w:r>
        <w:rPr>
          <w:bCs/>
          <w:b/>
        </w:rPr>
        <w:t xml:space="preserve">Phone:</w:t>
      </w:r>
      <w:r>
        <w:t xml:space="preserve"> </w:t>
      </w:r>
      <w:r>
        <w:t xml:space="preserve">+57 (604) 444 5566</w:t>
      </w:r>
    </w:p>
    <w:p>
      <w:pPr>
        <w:pStyle w:val="BodyText"/>
      </w:pPr>
      <w:r>
        <w:rPr>
          <w:bCs/>
          <w:b/>
        </w:rPr>
        <w:t xml:space="preserve">Email:</w:t>
      </w:r>
      <w:r>
        <w:t xml:space="preserve"> </w:t>
      </w:r>
      <w:r>
        <w:t xml:space="preserve">compras@clinicasanbenito.co</w:t>
      </w:r>
    </w:p>
    <w:bookmarkEnd w:id="21"/>
    <w:bookmarkStart w:id="22" w:name="seller-supplier"/>
    <w:p>
      <w:pPr>
        <w:pStyle w:val="Heading3"/>
      </w:pPr>
      <w:r>
        <w:t xml:space="preserve">SELLER (Supplier)</w:t>
      </w:r>
    </w:p>
    <w:p>
      <w:pPr>
        <w:pStyle w:val="FirstParagraph"/>
      </w:pPr>
      <w:r>
        <w:rPr>
          <w:bCs/>
          <w:b/>
        </w:rPr>
        <w:t xml:space="preserve">Entity:</w:t>
      </w:r>
      <w:r>
        <w:t xml:space="preserve"> </w:t>
      </w:r>
      <w:r>
        <w:t xml:space="preserve">MedSupply Colombia Ltda.</w:t>
      </w:r>
    </w:p>
    <w:p>
      <w:pPr>
        <w:pStyle w:val="BodyText"/>
      </w:pPr>
      <w:r>
        <w:rPr>
          <w:bCs/>
          <w:b/>
        </w:rPr>
        <w:t xml:space="preserve">Represented by:</w:t>
      </w:r>
      <w:r>
        <w:t xml:space="preserve"> </w:t>
      </w:r>
      <w:r>
        <w:t xml:space="preserve">Ing. Carolina Mejía, Commercial Director</w:t>
      </w:r>
    </w:p>
    <w:p>
      <w:pPr>
        <w:pStyle w:val="BodyText"/>
      </w:pPr>
      <w:r>
        <w:rPr>
          <w:bCs/>
          <w:b/>
        </w:rPr>
        <w:t xml:space="preserve">Address:</w:t>
      </w:r>
      <w:r>
        <w:t xml:space="preserve"> </w:t>
      </w:r>
      <w:r>
        <w:t xml:space="preserve">Cra. 50 # 25-180, Laureles</w:t>
      </w:r>
    </w:p>
    <w:p>
      <w:pPr>
        <w:pStyle w:val="BodyText"/>
      </w:pPr>
      <w:r>
        <w:rPr>
          <w:bCs/>
          <w:b/>
        </w:rPr>
        <w:t xml:space="preserve">City:</w:t>
      </w:r>
      <w:r>
        <w:t xml:space="preserve"> </w:t>
      </w:r>
      <w:r>
        <w:t xml:space="preserve">Medellín, Antioquia, Colombia</w:t>
      </w:r>
    </w:p>
    <w:p>
      <w:pPr>
        <w:pStyle w:val="BodyText"/>
      </w:pPr>
      <w:r>
        <w:rPr>
          <w:bCs/>
          <w:b/>
        </w:rPr>
        <w:t xml:space="preserve">NIT:</w:t>
      </w:r>
      <w:r>
        <w:t xml:space="preserve"> </w:t>
      </w:r>
      <w:r>
        <w:t xml:space="preserve">900.876.543-2</w:t>
      </w:r>
    </w:p>
    <w:p>
      <w:pPr>
        <w:pStyle w:val="BodyText"/>
      </w:pPr>
      <w:r>
        <w:rPr>
          <w:bCs/>
          <w:b/>
        </w:rPr>
        <w:t xml:space="preserve">Phone:</w:t>
      </w:r>
      <w:r>
        <w:t xml:space="preserve"> </w:t>
      </w:r>
      <w:r>
        <w:t xml:space="preserve">+57 (604) 333 2211</w:t>
      </w:r>
    </w:p>
    <w:p>
      <w:pPr>
        <w:pStyle w:val="BodyText"/>
      </w:pPr>
      <w:r>
        <w:rPr>
          <w:bCs/>
          <w:b/>
        </w:rPr>
        <w:t xml:space="preserve">Email:</w:t>
      </w:r>
      <w:r>
        <w:t xml:space="preserve"> </w:t>
      </w:r>
      <w:r>
        <w:t xml:space="preserve">ventas@medsupplycolombia.co</w:t>
      </w:r>
    </w:p>
    <w:bookmarkEnd w:id="22"/>
    <w:p>
      <w:pPr>
        <w:pStyle w:val="BodyText"/>
      </w:pPr>
      <w:r>
        <w:t xml:space="preserve">2. PURPOSE AND SCOPE</w:t>
      </w:r>
    </w:p>
    <w:p>
      <w:pPr>
        <w:pStyle w:val="BodyText"/>
      </w:pPr>
      <w:r>
        <w:t xml:space="preserve">This Purchase Order is issued by Clínica San Benito S.A.S. to procure essential medical equipment, diagnostic instruments, and consumable supplies required for the daily operation of a Doctor General Practitioner consultation room located in the El Poblado district of Medellín, Colombia. The items listed below are specifically selected to support the comprehensive primary care services delivered by a Doctor General Practitioner, including patient examinations, basic diagnostics, minor procedures, prescription management, and preventive health consultations in accordance with the Colombian General System of Social Security in Health (SGSSS) regulations.</w:t>
      </w:r>
    </w:p>
    <w:p>
      <w:pPr>
        <w:pStyle w:val="BodyText"/>
      </w:pPr>
      <w:r>
        <w:t xml:space="preserve">3.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01</w:t>
            </w:r>
          </w:p>
        </w:tc>
        <w:tc>
          <w:tcPr/>
          <w:p>
            <w:pPr>
              <w:pStyle w:val="Compact"/>
              <w:jc w:val="left"/>
            </w:pPr>
            <w:r>
              <w:t xml:space="preserve">Electronic Sphygmomanometer (Blood Pressure Monitor) – Medical Grade, for Doctor General Practitioner use</w:t>
            </w:r>
          </w:p>
        </w:tc>
        <w:tc>
          <w:tcPr/>
          <w:p>
            <w:pPr>
              <w:pStyle w:val="Compact"/>
              <w:jc w:val="left"/>
            </w:pPr>
            <w:r>
              <w:t xml:space="preserve">4</w:t>
            </w:r>
          </w:p>
        </w:tc>
        <w:tc>
          <w:tcPr/>
          <w:p>
            <w:pPr>
              <w:pStyle w:val="Compact"/>
              <w:jc w:val="left"/>
            </w:pPr>
            <w:r>
              <w:t xml:space="preserve">Units</w:t>
            </w:r>
          </w:p>
        </w:tc>
        <w:tc>
          <w:tcPr/>
          <w:p>
            <w:pPr>
              <w:pStyle w:val="Compact"/>
              <w:jc w:val="left"/>
            </w:pPr>
            <w:r>
              <w:t xml:space="preserve">485,000</w:t>
            </w:r>
          </w:p>
        </w:tc>
        <w:tc>
          <w:tcPr/>
          <w:p>
            <w:pPr>
              <w:pStyle w:val="Compact"/>
              <w:jc w:val="left"/>
            </w:pPr>
            <w:r>
              <w:t xml:space="preserve">1,940,000</w:t>
            </w:r>
          </w:p>
        </w:tc>
      </w:tr>
      <w:tr>
        <w:tc>
          <w:tcPr/>
          <w:p>
            <w:pPr>
              <w:pStyle w:val="Compact"/>
              <w:jc w:val="left"/>
            </w:pPr>
            <w:r>
              <w:t xml:space="preserve">02</w:t>
            </w:r>
          </w:p>
        </w:tc>
        <w:tc>
          <w:tcPr/>
          <w:p>
            <w:pPr>
              <w:pStyle w:val="Compact"/>
              <w:jc w:val="left"/>
            </w:pPr>
            <w:r>
              <w:t xml:space="preserve">Digital Thermometer, Infrared Forehead Type – CE and INVIMA Certified</w:t>
            </w:r>
          </w:p>
        </w:tc>
        <w:tc>
          <w:tcPr/>
          <w:p>
            <w:pPr>
              <w:pStyle w:val="Compact"/>
              <w:jc w:val="left"/>
            </w:pPr>
            <w:r>
              <w:t xml:space="preserve">6</w:t>
            </w:r>
          </w:p>
        </w:tc>
        <w:tc>
          <w:tcPr/>
          <w:p>
            <w:pPr>
              <w:pStyle w:val="Compact"/>
              <w:jc w:val="left"/>
            </w:pPr>
            <w:r>
              <w:t xml:space="preserve">Units</w:t>
            </w:r>
          </w:p>
        </w:tc>
        <w:tc>
          <w:tcPr/>
          <w:p>
            <w:pPr>
              <w:pStyle w:val="Compact"/>
              <w:jc w:val="left"/>
            </w:pPr>
            <w:r>
              <w:t xml:space="preserve">125,000</w:t>
            </w:r>
          </w:p>
        </w:tc>
        <w:tc>
          <w:tcPr/>
          <w:p>
            <w:pPr>
              <w:pStyle w:val="Compact"/>
              <w:jc w:val="left"/>
            </w:pPr>
            <w:r>
              <w:t xml:space="preserve">750,000</w:t>
            </w:r>
          </w:p>
        </w:tc>
      </w:tr>
      <w:tr>
        <w:tc>
          <w:tcPr/>
          <w:p>
            <w:pPr>
              <w:pStyle w:val="Compact"/>
              <w:jc w:val="left"/>
            </w:pPr>
            <w:r>
              <w:t xml:space="preserve">03</w:t>
            </w:r>
          </w:p>
        </w:tc>
        <w:tc>
          <w:tcPr/>
          <w:p>
            <w:pPr>
              <w:pStyle w:val="Compact"/>
              <w:jc w:val="left"/>
            </w:pPr>
            <w:r>
              <w:t xml:space="preserve">Pneumatic Stethoscope, Dual Head (Diaphragm/Bell) – For General Practitioner Consultations</w:t>
            </w:r>
          </w:p>
        </w:tc>
        <w:tc>
          <w:tcPr/>
          <w:p>
            <w:pPr>
              <w:pStyle w:val="Compact"/>
              <w:jc w:val="left"/>
            </w:pPr>
            <w:r>
              <w:t xml:space="preserve">4</w:t>
            </w:r>
          </w:p>
        </w:tc>
        <w:tc>
          <w:tcPr/>
          <w:p>
            <w:pPr>
              <w:pStyle w:val="Compact"/>
              <w:jc w:val="left"/>
            </w:pPr>
            <w:r>
              <w:t xml:space="preserve">Units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04</w:t>
            </w:r>
          </w:p>
        </w:tc>
        <w:tc>
          <w:tcPr/>
          <w:p>
            <w:pPr>
              <w:pStyle w:val="Compact"/>
              <w:jc w:val="left"/>
            </w:pPr>
            <w:r>
              <w:t xml:space="preserve">Examination Table with Adjustable Backrest and Paper Roll Holder – For Doctor General Practitioner Clinic</w:t>
            </w:r>
          </w:p>
        </w:tc>
        <w:tc>
          <w:tcPr/>
          <w:p>
            <w:pPr>
              <w:pStyle w:val="Compact"/>
              <w:jc w:val="left"/>
            </w:pPr>
            <w:r>
              <w:t xml:space="preserve">2</w:t>
            </w:r>
          </w:p>
        </w:tc>
        <w:tc>
          <w:tcPr/>
          <w:p>
            <w:pPr>
              <w:pStyle w:val="Compact"/>
              <w:jc w:val="left"/>
            </w:pPr>
            <w:r>
              <w:t xml:space="preserve">Units</w:t>
            </w:r>
          </w:p>
        </w:tc>
        <w:tc>
          <w:tcPr/>
          <w:p>
            <w:pPr>
              <w:pStyle w:val="Compact"/>
              <w:jc w:val="left"/>
            </w:pPr>
            <w:r>
              <w:t xml:space="preserve">2,850,000</w:t>
            </w:r>
          </w:p>
        </w:tc>
        <w:tc>
          <w:tcPr/>
          <w:p>
            <w:pPr>
              <w:pStyle w:val="Compact"/>
              <w:jc w:val="left"/>
            </w:pPr>
            <w:r>
              <w:t xml:space="preserve">5,700,000</w:t>
            </w:r>
          </w:p>
        </w:tc>
      </w:tr>
      <w:tr>
        <w:tc>
          <w:tcPr/>
          <w:p>
            <w:pPr>
              <w:pStyle w:val="Compact"/>
              <w:jc w:val="left"/>
            </w:pPr>
            <w:r>
              <w:t xml:space="preserve">05</w:t>
            </w:r>
          </w:p>
        </w:tc>
        <w:tc>
          <w:tcPr/>
          <w:p>
            <w:pPr>
              <w:pStyle w:val="Compact"/>
              <w:jc w:val="left"/>
            </w:pPr>
            <w:r>
              <w:t xml:space="preserve">Portable Pulse Oximeter, Fingertip Type – For General Practitioner Patient Monitoring</w:t>
            </w:r>
          </w:p>
        </w:tc>
        <w:tc>
          <w:tcPr/>
          <w:p>
            <w:pPr>
              <w:pStyle w:val="Compact"/>
              <w:jc w:val="left"/>
            </w:pPr>
            <w:r>
              <w:t xml:space="preserve">4</w:t>
            </w:r>
          </w:p>
        </w:tc>
        <w:tc>
          <w:tcPr/>
          <w:p>
            <w:pPr>
              <w:pStyle w:val="Compact"/>
              <w:jc w:val="left"/>
            </w:pPr>
            <w:r>
              <w:t xml:space="preserve">Units</w:t>
            </w:r>
          </w:p>
        </w:tc>
        <w:tc>
          <w:tcPr/>
          <w:p>
            <w:pPr>
              <w:pStyle w:val="Compact"/>
              <w:jc w:val="left"/>
            </w:pPr>
            <w:r>
              <w:t xml:space="preserve">198,000</w:t>
            </w:r>
          </w:p>
        </w:tc>
        <w:tc>
          <w:tcPr/>
          <w:p>
            <w:pPr>
              <w:pStyle w:val="Compact"/>
              <w:jc w:val="left"/>
            </w:pPr>
            <w:r>
              <w:t xml:space="preserve">792,000</w:t>
            </w:r>
          </w:p>
        </w:tc>
      </w:tr>
      <w:tr>
        <w:tc>
          <w:tcPr/>
          <w:p>
            <w:pPr>
              <w:pStyle w:val="Compact"/>
              <w:jc w:val="left"/>
            </w:pPr>
            <w:r>
              <w:t xml:space="preserve">06</w:t>
            </w:r>
          </w:p>
        </w:tc>
        <w:tc>
          <w:tcPr/>
          <w:p>
            <w:pPr>
              <w:pStyle w:val="Compact"/>
              <w:jc w:val="left"/>
            </w:pPr>
            <w:r>
              <w:t xml:space="preserve">Disposable Nitrile Examination Gloves, Box of 100 (Sizes S/M/L) – For Doctor General Practitioner Procedures</w:t>
            </w:r>
          </w:p>
        </w:tc>
        <w:tc>
          <w:tcPr/>
          <w:p>
            <w:pPr>
              <w:pStyle w:val="Compact"/>
              <w:jc w:val="left"/>
            </w:pPr>
            <w:r>
              <w:t xml:space="preserve">20</w:t>
            </w:r>
          </w:p>
        </w:tc>
        <w:tc>
          <w:tcPr/>
          <w:p>
            <w:pPr>
              <w:pStyle w:val="Compact"/>
              <w:jc w:val="left"/>
            </w:pPr>
            <w:r>
              <w:t xml:space="preserve">Boxes</w:t>
            </w:r>
          </w:p>
        </w:tc>
        <w:tc>
          <w:tcPr/>
          <w:p>
            <w:pPr>
              <w:pStyle w:val="Compact"/>
              <w:jc w:val="left"/>
            </w:pPr>
            <w:r>
              <w:t xml:space="preserve">42,000</w:t>
            </w:r>
          </w:p>
        </w:tc>
        <w:tc>
          <w:tcPr/>
          <w:p>
            <w:pPr>
              <w:pStyle w:val="Compact"/>
              <w:jc w:val="left"/>
            </w:pPr>
            <w:r>
              <w:t xml:space="preserve">840,000</w:t>
            </w:r>
          </w:p>
        </w:tc>
      </w:tr>
      <w:tr>
        <w:tc>
          <w:tcPr/>
          <w:p>
            <w:pPr>
              <w:pStyle w:val="Compact"/>
              <w:jc w:val="left"/>
            </w:pPr>
            <w:r>
              <w:t xml:space="preserve">07</w:t>
            </w:r>
          </w:p>
        </w:tc>
        <w:tc>
          <w:tcPr/>
          <w:p>
            <w:pPr>
              <w:pStyle w:val="Compact"/>
              <w:jc w:val="left"/>
            </w:pPr>
            <w:r>
              <w:t xml:space="preserve">Medical Examination Paper Rolls, 50m per Roll – For Consultation Tables in Medellín Clinic</w:t>
            </w:r>
          </w:p>
        </w:tc>
        <w:tc>
          <w:tcPr/>
          <w:p>
            <w:pPr>
              <w:pStyle w:val="Compact"/>
              <w:jc w:val="left"/>
            </w:pPr>
            <w:r>
              <w:t xml:space="preserve">30</w:t>
            </w:r>
          </w:p>
        </w:tc>
        <w:tc>
          <w:tcPr/>
          <w:p>
            <w:pPr>
              <w:pStyle w:val="Compact"/>
              <w:jc w:val="left"/>
            </w:pPr>
            <w:r>
              <w:t xml:space="preserve">Rolls</w:t>
            </w:r>
          </w:p>
        </w:tc>
        <w:tc>
          <w:tcPr/>
          <w:p>
            <w:pPr>
              <w:pStyle w:val="Compact"/>
              <w:jc w:val="left"/>
            </w:pPr>
            <w:r>
              <w:t xml:space="preserve">18,500</w:t>
            </w:r>
          </w:p>
        </w:tc>
        <w:tc>
          <w:tcPr/>
          <w:p>
            <w:pPr>
              <w:pStyle w:val="Compact"/>
              <w:jc w:val="left"/>
            </w:pPr>
            <w:r>
              <w:t xml:space="preserve">555,000</w:t>
            </w:r>
          </w:p>
        </w:tc>
      </w:tr>
      <w:tr>
        <w:tc>
          <w:tcPr/>
          <w:p>
            <w:pPr>
              <w:pStyle w:val="Compact"/>
              <w:jc w:val="left"/>
            </w:pPr>
            <w:r>
              <w:t xml:space="preserve">08</w:t>
            </w:r>
          </w:p>
        </w:tc>
        <w:tc>
          <w:tcPr/>
          <w:p>
            <w:pPr>
              <w:pStyle w:val="Compact"/>
              <w:jc w:val="left"/>
            </w:pPr>
            <w:r>
              <w:t xml:space="preserve">Portable ECG Machine, 12-Lead – For Doctor General Practitioner Cardiac Screening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09</w:t>
            </w:r>
          </w:p>
        </w:tc>
        <w:tc>
          <w:tcPr/>
          <w:p>
            <w:pPr>
              <w:pStyle w:val="Compact"/>
              <w:jc w:val="left"/>
            </w:pPr>
            <w:r>
              <w:t xml:space="preserve">Medical Otoscope and Ophthalmoscope Set – For General Practitioner ENT and Ophthalmic Exams</w:t>
            </w:r>
          </w:p>
        </w:tc>
        <w:tc>
          <w:tcPr/>
          <w:p>
            <w:pPr>
              <w:pStyle w:val="Compact"/>
              <w:jc w:val="left"/>
            </w:pPr>
            <w:r>
              <w:t xml:space="preserve">3</w:t>
            </w:r>
          </w:p>
        </w:tc>
        <w:tc>
          <w:tcPr/>
          <w:p>
            <w:pPr>
              <w:pStyle w:val="Compact"/>
              <w:jc w:val="left"/>
            </w:pPr>
            <w:r>
              <w:t xml:space="preserve">Sets</w:t>
            </w:r>
          </w:p>
        </w:tc>
        <w:tc>
          <w:tcPr/>
          <w:p>
            <w:pPr>
              <w:pStyle w:val="Compact"/>
              <w:jc w:val="left"/>
            </w:pPr>
            <w:r>
              <w:t xml:space="preserve">275,000</w:t>
            </w:r>
          </w:p>
        </w:tc>
        <w:tc>
          <w:tcPr/>
          <w:p>
            <w:pPr>
              <w:pStyle w:val="Compact"/>
              <w:jc w:val="left"/>
            </w:pPr>
            <w:r>
              <w:t xml:space="preserve">825,000</w:t>
            </w:r>
          </w:p>
        </w:tc>
      </w:tr>
      <w:tr>
        <w:tc>
          <w:tcPr/>
          <w:p>
            <w:pPr>
              <w:pStyle w:val="Compact"/>
              <w:jc w:val="left"/>
            </w:pPr>
            <w:r>
              <w:t xml:space="preserve">10</w:t>
            </w:r>
          </w:p>
        </w:tc>
        <w:tc>
          <w:tcPr/>
          <w:p>
            <w:pPr>
              <w:pStyle w:val="Compact"/>
              <w:jc w:val="left"/>
            </w:pPr>
            <w:r>
              <w:t xml:space="preserve">Antiseptic Solution (Chlorhexidine 2%), 1L Bottles – For Doctor General Practitioner Minor Procedures</w:t>
            </w:r>
          </w:p>
        </w:tc>
        <w:tc>
          <w:tcPr/>
          <w:p>
            <w:pPr>
              <w:pStyle w:val="Compact"/>
              <w:jc w:val="left"/>
            </w:pPr>
            <w:r>
              <w:t xml:space="preserve">12</w:t>
            </w:r>
          </w:p>
        </w:tc>
        <w:tc>
          <w:tcPr/>
          <w:p>
            <w:pPr>
              <w:pStyle w:val="Compact"/>
              <w:jc w:val="left"/>
            </w:pPr>
            <w:r>
              <w:t xml:space="preserve">Bottles</w:t>
            </w:r>
          </w:p>
        </w:tc>
        <w:tc>
          <w:tcPr/>
          <w:p>
            <w:pPr>
              <w:pStyle w:val="Compact"/>
              <w:jc w:val="left"/>
            </w:pPr>
            <w:r>
              <w:t xml:space="preserve">38,000</w:t>
            </w:r>
          </w:p>
        </w:tc>
        <w:tc>
          <w:tcPr/>
          <w:p>
            <w:pPr>
              <w:pStyle w:val="Compact"/>
              <w:jc w:val="left"/>
            </w:pPr>
            <w:r>
              <w:t xml:space="preserve">456,000</w:t>
            </w:r>
          </w:p>
        </w:tc>
      </w:tr>
    </w:tbl>
    <w:p>
      <w:pPr>
        <w:pStyle w:val="BodyText"/>
      </w:pPr>
      <w:r>
        <w:t xml:space="preserve">Subtotal:</w:t>
      </w:r>
      <w:r>
        <w:t xml:space="preserve">COP 25,638,000</w:t>
      </w:r>
    </w:p>
    <w:p>
      <w:pPr>
        <w:pStyle w:val="BodyText"/>
      </w:pPr>
      <w:r>
        <w:t xml:space="preserve">IVA (19% VAT – Colombia):</w:t>
      </w:r>
      <w:r>
        <w:t xml:space="preserve">COP 4,871,220</w:t>
      </w:r>
    </w:p>
    <w:p>
      <w:pPr>
        <w:pStyle w:val="BodyText"/>
      </w:pPr>
      <w:r>
        <w:t xml:space="preserve">Delivery to Medellín (El Poblado):</w:t>
      </w:r>
      <w:r>
        <w:t xml:space="preserve">COP 350,000</w:t>
      </w:r>
    </w:p>
    <w:p>
      <w:pPr>
        <w:pStyle w:val="BodyText"/>
      </w:pPr>
      <w:r>
        <w:t xml:space="preserve">GRAND TOTAL:</w:t>
      </w:r>
      <w:r>
        <w:t xml:space="preserve">COP 30,859,220</w:t>
      </w:r>
    </w:p>
    <w:p>
      <w:pPr>
        <w:pStyle w:val="BodyText"/>
      </w:pPr>
      <w:r>
        <w:rPr>
          <w:bCs/>
          <w:b/>
        </w:rPr>
        <w:t xml:space="preserve">NOTE:</w:t>
      </w:r>
      <w:r>
        <w:t xml:space="preserve"> </w:t>
      </w:r>
      <w:r>
        <w:t xml:space="preserve">All medical devices and equipment listed in this Purchase Order must comply with the regulatory requirements established by INVIMA (Instituto Nacional de Vigilancia de Medicamentos y Alimentos) for use in Colombia. The Doctor General Practitioner at Clínica San Benito requires that all items carry valid INVIMA registration numbers and CE marking where applicable. Delivery must be made to the clinic premises in Medellín, Antioquia, during regular business hours (Monday to Friday, 8:00 AM to 5:00 PM).</w:t>
      </w:r>
    </w:p>
    <w:p>
      <w:pPr>
        <w:pStyle w:val="BodyText"/>
      </w:pPr>
      <w:r>
        <w:t xml:space="preserve">4. TERMS AND CONDITIONS</w:t>
      </w:r>
    </w:p>
    <w:p>
      <w:pPr>
        <w:numPr>
          <w:ilvl w:val="0"/>
          <w:numId w:val="1001"/>
        </w:numPr>
        <w:pStyle w:val="Compact"/>
      </w:pPr>
      <w:r>
        <w:rPr>
          <w:bCs/>
          <w:b/>
        </w:rPr>
        <w:t xml:space="preserve">Delivery:</w:t>
      </w:r>
      <w:r>
        <w:t xml:space="preserve"> </w:t>
      </w:r>
      <w:r>
        <w:t xml:space="preserve">The Seller shall deliver all items specified in this Purchase Order to the Buyer's facility located in Medellín, Colombia, no later than July 15, 2025. Delivery shall be made to the ground floor reception of Clínica San Benito, El Poblado district, Medellín.</w:t>
      </w:r>
    </w:p>
    <w:p>
      <w:pPr>
        <w:numPr>
          <w:ilvl w:val="0"/>
          <w:numId w:val="1001"/>
        </w:numPr>
        <w:pStyle w:val="Compact"/>
      </w:pPr>
      <w:r>
        <w:rPr>
          <w:bCs/>
          <w:b/>
        </w:rPr>
        <w:t xml:space="preserve">Quality Assurance:</w:t>
      </w:r>
      <w:r>
        <w:t xml:space="preserve"> </w:t>
      </w:r>
      <w:r>
        <w:t xml:space="preserve">All products must be new, unused, and in their original packaging. The Doctor General Practitioner and clinical staff at the clinic reserve the right to inspect and reject any item that does not meet the specifications outlined in this Purchase Order or that lacks proper INVIMA certification for use in Colombia.</w:t>
      </w:r>
    </w:p>
    <w:p>
      <w:pPr>
        <w:numPr>
          <w:ilvl w:val="0"/>
          <w:numId w:val="1001"/>
        </w:numPr>
        <w:pStyle w:val="Compact"/>
      </w:pPr>
      <w:r>
        <w:rPr>
          <w:bCs/>
          <w:b/>
        </w:rPr>
        <w:t xml:space="preserve">Warranty:</w:t>
      </w:r>
      <w:r>
        <w:t xml:space="preserve"> </w:t>
      </w:r>
      <w:r>
        <w:t xml:space="preserve">The Seller guarantees a minimum warranty period of twelve (12) months from the date of delivery for all electronic and mechanical equipment. Consumable items are covered under a thirty (30) day defect replacement policy.</w:t>
      </w:r>
    </w:p>
    <w:p>
      <w:pPr>
        <w:numPr>
          <w:ilvl w:val="0"/>
          <w:numId w:val="1001"/>
        </w:numPr>
        <w:pStyle w:val="Compact"/>
      </w:pPr>
      <w:r>
        <w:rPr>
          <w:bCs/>
          <w:b/>
        </w:rPr>
        <w:t xml:space="preserve">Payment:</w:t>
      </w:r>
      <w:r>
        <w:t xml:space="preserve"> </w:t>
      </w:r>
      <w:r>
        <w:t xml:space="preserve">Payment shall be made via bank transfer (transferencia bancaria) to the Seller's designated account within thirty (30) calendar days from the date of invoice issuance, in accordance with Colombian commercial law (Código de Comercio). The total amount due is COP 30,859,220 (Thirty Million Eight Hundred Fifty-Nine Thousand Two Hundred Twenty Colombian Pesos).</w:t>
      </w:r>
    </w:p>
    <w:p>
      <w:pPr>
        <w:numPr>
          <w:ilvl w:val="0"/>
          <w:numId w:val="1001"/>
        </w:numPr>
        <w:pStyle w:val="Compact"/>
      </w:pPr>
      <w:r>
        <w:rPr>
          <w:bCs/>
          <w:b/>
        </w:rPr>
        <w:t xml:space="preserve">Tax Compliance:</w:t>
      </w:r>
      <w:r>
        <w:t xml:space="preserve"> </w:t>
      </w:r>
      <w:r>
        <w:t xml:space="preserve">The Seller shall issue a valid electronic invoice (factura electrónica) compliant with the DIAN (Dirección de Impuestos y Aduanas Nacionales) regulations of Colombia. The 19% IVA (VAT) is included in the grand total as per Colombian tax law.</w:t>
      </w:r>
    </w:p>
    <w:p>
      <w:pPr>
        <w:numPr>
          <w:ilvl w:val="0"/>
          <w:numId w:val="1001"/>
        </w:numPr>
        <w:pStyle w:val="Compact"/>
      </w:pPr>
      <w:r>
        <w:rPr>
          <w:bCs/>
          <w:b/>
        </w:rPr>
        <w:t xml:space="preserve">Intellectual Property and Compliance:</w:t>
      </w:r>
      <w:r>
        <w:t xml:space="preserve"> </w:t>
      </w:r>
      <w:r>
        <w:t xml:space="preserve">The Seller warrants that all products do not infringe upon any intellectual property rights and are legally authorized for sale and use within the Republic of Colombia, specifically for a Doctor General Practitioner practice in Medellín.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public health emergencies as may occur in Medellín or the Antioquia department.</w:t>
      </w:r>
    </w:p>
    <w:p>
      <w:pPr>
        <w:numPr>
          <w:ilvl w:val="0"/>
          <w:numId w:val="1001"/>
        </w:numPr>
        <w:pStyle w:val="Compact"/>
      </w:pPr>
      <w:r>
        <w:rPr>
          <w:bCs/>
          <w:b/>
        </w:rPr>
        <w:t xml:space="preserve">Governing Law:</w:t>
      </w:r>
      <w:r>
        <w:t xml:space="preserve"> </w:t>
      </w:r>
      <w:r>
        <w:t xml:space="preserve">This Purchase Order shall be governed by and interpreted in accordance with the laws of the Republic of Colombia. Any disputes arising from this document shall be resolved in the competent commercial courts of Medellín, Antioquia.</w:t>
      </w:r>
    </w:p>
    <w:p>
      <w:pPr>
        <w:numPr>
          <w:ilvl w:val="0"/>
          <w:numId w:val="1001"/>
        </w:numPr>
        <w:pStyle w:val="Compact"/>
      </w:pPr>
      <w:r>
        <w:rPr>
          <w:bCs/>
          <w:b/>
        </w:rPr>
        <w:t xml:space="preserve">Validity:</w:t>
      </w:r>
      <w:r>
        <w:t xml:space="preserve"> </w:t>
      </w:r>
      <w:r>
        <w:t xml:space="preserve">This Purchase Order is valid for acceptance within ten (10) business days from the date of issue. Failure to confirm acceptance within this period shall render this document null and void.</w:t>
      </w:r>
    </w:p>
    <w:p>
      <w:pPr>
        <w:pStyle w:val="FirstParagraph"/>
      </w:pPr>
      <w:r>
        <w:t xml:space="preserve">5. AUTHORIZATION AND SIGNATURES</w:t>
      </w:r>
    </w:p>
    <w:p>
      <w:pPr>
        <w:pStyle w:val="BodyText"/>
      </w:pPr>
      <w:r>
        <w:rPr>
          <w:bCs/>
          <w:b/>
        </w:rPr>
        <w:t xml:space="preserve">For the Buyer (Clínica San Benito S.A.S.)</w:t>
      </w:r>
    </w:p>
    <w:p>
      <w:pPr>
        <w:pStyle w:val="BodyText"/>
      </w:pPr>
      <w:r>
        <w:rPr>
          <w:bCs/>
          <w:b/>
        </w:rPr>
        <w:t xml:space="preserve">Dr. Alejandro Restrepo</w:t>
      </w:r>
      <w:r>
        <w:br/>
      </w:r>
      <w:r>
        <w:t xml:space="preserve">Doctor General Practitioner</w:t>
      </w:r>
      <w:r>
        <w:br/>
      </w:r>
      <w:r>
        <w:t xml:space="preserve">NIT: 901.234.567-8</w:t>
      </w:r>
      <w:r>
        <w:br/>
      </w:r>
      <w:r>
        <w:t xml:space="preserve">Medellín, Colombia</w:t>
      </w:r>
      <w:r>
        <w:br/>
      </w:r>
      <w:r>
        <w:t xml:space="preserve">Date: _______________</w:t>
      </w:r>
    </w:p>
    <w:p>
      <w:pPr>
        <w:pStyle w:val="BodyText"/>
      </w:pPr>
      <w:r>
        <w:rPr>
          <w:bCs/>
          <w:b/>
        </w:rPr>
        <w:t xml:space="preserve">For the Seller (MedSupply Colombia Ltda.)</w:t>
      </w:r>
    </w:p>
    <w:p>
      <w:pPr>
        <w:pStyle w:val="BodyText"/>
      </w:pPr>
      <w:r>
        <w:rPr>
          <w:bCs/>
          <w:b/>
        </w:rPr>
        <w:t xml:space="preserve">Ing. Carolina Mejía</w:t>
      </w:r>
      <w:r>
        <w:br/>
      </w:r>
      <w:r>
        <w:t xml:space="preserve">Commercial Director</w:t>
      </w:r>
      <w:r>
        <w:br/>
      </w:r>
      <w:r>
        <w:t xml:space="preserve">NIT: 900.876.543-2</w:t>
      </w:r>
      <w:r>
        <w:br/>
      </w:r>
      <w:r>
        <w:t xml:space="preserve">Medellín, Colombia</w:t>
      </w:r>
      <w:r>
        <w:br/>
      </w:r>
      <w:r>
        <w:t xml:space="preserve">Date: _______________</w:t>
      </w:r>
    </w:p>
    <w:p>
      <w:pPr>
        <w:pStyle w:val="BodyText"/>
      </w:pPr>
      <w:r>
        <w:t xml:space="preserve">This Purchase Order (PO-MED-2025-04871) was prepared for the Doctor General Practitioner services at Clínica San Benito S.A.S., Medellín, Antioquia, Colombia. This document constitutes a binding commercial agreement between the parties upon signature. All communications regarding this Purchase Order shall be directed to the respective email addresses listed above. Document generated in compliance with Colombian commercial and tax regulations.</w:t>
      </w:r>
    </w:p>
    <w:p>
      <w:pPr>
        <w:pStyle w:val="BodyText"/>
      </w:pPr>
      <w:r>
        <w:t xml:space="preserve">© 2025 Clínica San Benito S.A.S. – Medellín, Colombia.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Colombia Medellín</dc:title>
  <dc:creator/>
  <dc:language>en</dc:language>
  <cp:keywords/>
  <dcterms:created xsi:type="dcterms:W3CDTF">2026-10-10T10:01:25Z</dcterms:created>
  <dcterms:modified xsi:type="dcterms:W3CDTF">2026-10-10T10:01:25Z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