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rPr>
          <w:bCs/>
          <w:b/>
        </w:rPr>
        <w:t xml:space="preserve">Alexandria Medical Supply &amp; Equipment Co., Ltd.</w:t>
      </w:r>
    </w:p>
    <w:p>
      <w:pPr>
        <w:pStyle w:val="BodyText"/>
      </w:pPr>
      <w:r>
        <w:t xml:space="preserve">142 Corniche El-Nil Street, Smouha District, Egypt Alexandria, 21542</w:t>
      </w:r>
    </w:p>
    <w:p>
      <w:pPr>
        <w:pStyle w:val="BodyText"/>
      </w:pPr>
      <w:r>
        <w:t xml:space="preserve">Tel: +20-3-552-8841 | Email: procurement@alexmedsupply.com.eg | Tax ID: 528-441-907</w:t>
      </w:r>
    </w:p>
    <w:bookmarkEnd w:id="20"/>
    <w:p>
      <w:pPr>
        <w:pStyle w:val="BodyText"/>
      </w:pPr>
      <w:r>
        <w:rPr>
          <w:bCs/>
          <w:b/>
        </w:rPr>
        <w:t xml:space="preserve">Purchase Order No.:</w:t>
      </w:r>
      <w:r>
        <w:t xml:space="preserve"> </w:t>
      </w:r>
      <w:r>
        <w:t xml:space="preserve">PO-EGY-ALX-2025-04782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Payment Terms:</w:t>
      </w:r>
      <w:r>
        <w:t xml:space="preserve"> </w:t>
      </w:r>
      <w:r>
        <w:t xml:space="preserve">Net 30 Days</w:t>
      </w:r>
    </w:p>
    <w:p>
      <w:pPr>
        <w:pStyle w:val="BodyText"/>
      </w:pPr>
      <w:r>
        <w:rPr>
          <w:bCs/>
          <w:b/>
        </w:rPr>
        <w:t xml:space="preserve">Incoterms:</w:t>
      </w:r>
      <w:r>
        <w:t xml:space="preserve"> </w:t>
      </w:r>
      <w:r>
        <w:t xml:space="preserve">DDP – Egypt Alexandria</w:t>
      </w:r>
    </w:p>
    <w:p>
      <w:pPr>
        <w:pStyle w:val="BodyText"/>
      </w:pPr>
      <w:r>
        <w:rPr>
          <w:bCs/>
          <w:b/>
        </w:rPr>
        <w:t xml:space="preserve">Valid Until:</w:t>
      </w:r>
      <w:r>
        <w:t xml:space="preserve"> </w:t>
      </w:r>
      <w:r>
        <w:t xml:space="preserve">15 July 2025</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w:t>
            </w:r>
            <w:r>
              <w:t xml:space="preserve"> </w:t>
            </w:r>
            <w:r>
              <w:t xml:space="preserve">Dr. Hassan El-Masry General Practice Clinic</w:t>
            </w:r>
          </w:p>
        </w:tc>
        <w:tc>
          <w:tcPr/>
          <w:p>
            <w:pPr>
              <w:pStyle w:val="Compact"/>
              <w:jc w:val="left"/>
            </w:pPr>
            <w:r>
              <w:rPr>
                <w:bCs/>
                <w:b/>
              </w:rPr>
              <w:t xml:space="preserve">Role:</w:t>
            </w:r>
            <w:r>
              <w:t xml:space="preserve"> </w:t>
            </w:r>
            <w:r>
              <w:t xml:space="preserve">Doctor General Practitioner</w:t>
            </w:r>
          </w:p>
        </w:tc>
      </w:tr>
      <w:tr>
        <w:tc>
          <w:tcPr/>
          <w:p>
            <w:pPr>
              <w:pStyle w:val="Compact"/>
              <w:jc w:val="left"/>
            </w:pPr>
            <w:r>
              <w:rPr>
                <w:bCs/>
                <w:b/>
              </w:rPr>
              <w:t xml:space="preserve">Address:</w:t>
            </w:r>
            <w:r>
              <w:t xml:space="preserve"> </w:t>
            </w:r>
            <w:r>
              <w:t xml:space="preserve">27 Fouad Street, Mansheya District, Egypt Alexandria, 21411</w:t>
            </w:r>
          </w:p>
        </w:tc>
        <w:tc>
          <w:tcPr/>
          <w:p>
            <w:pPr>
              <w:pStyle w:val="Compact"/>
              <w:jc w:val="left"/>
            </w:pPr>
            <w:r>
              <w:rPr>
                <w:bCs/>
                <w:b/>
              </w:rPr>
              <w:t xml:space="preserve">License No.:</w:t>
            </w:r>
            <w:r>
              <w:t xml:space="preserve"> </w:t>
            </w:r>
            <w:r>
              <w:t xml:space="preserve">MED-EGY-2019-33847 (Alexandria Health Directorate)</w:t>
            </w:r>
          </w:p>
        </w:tc>
      </w:tr>
      <w:tr>
        <w:tc>
          <w:tcPr/>
          <w:p>
            <w:pPr>
              <w:pStyle w:val="Compact"/>
              <w:jc w:val="left"/>
            </w:pPr>
            <w:r>
              <w:rPr>
                <w:bCs/>
                <w:b/>
              </w:rPr>
              <w:t xml:space="preserve">Contact Person:</w:t>
            </w:r>
            <w:r>
              <w:t xml:space="preserve"> </w:t>
            </w:r>
            <w:r>
              <w:t xml:space="preserve">Dr. Hassan El-Masry, M.D.</w:t>
            </w:r>
          </w:p>
        </w:tc>
        <w:tc>
          <w:tcPr/>
          <w:p>
            <w:pPr>
              <w:pStyle w:val="Compact"/>
              <w:jc w:val="left"/>
            </w:pPr>
            <w:r>
              <w:rPr>
                <w:bCs/>
                <w:b/>
              </w:rPr>
              <w:t xml:space="preserve">Phone:</w:t>
            </w:r>
            <w:r>
              <w:t xml:space="preserve"> </w:t>
            </w:r>
            <w:r>
              <w:t xml:space="preserve">+20-100-445-7723</w:t>
            </w:r>
          </w:p>
        </w:tc>
      </w:tr>
      <w:tr>
        <w:tc>
          <w:tcPr/>
          <w:p>
            <w:pPr>
              <w:pStyle w:val="Compact"/>
              <w:jc w:val="left"/>
            </w:pPr>
            <w:r>
              <w:rPr>
                <w:bCs/>
                <w:b/>
              </w:rPr>
              <w:t xml:space="preserve">Email:</w:t>
            </w:r>
            <w:r>
              <w:t xml:space="preserve"> </w:t>
            </w:r>
            <w:r>
              <w:t xml:space="preserve">dr.hassan.mansheya@alexgp.com.eg</w:t>
            </w:r>
          </w:p>
        </w:tc>
        <w:tc>
          <w:tcPr/>
          <w:p>
            <w:pPr>
              <w:pStyle w:val="Compact"/>
              <w:jc w:val="left"/>
            </w:pPr>
            <w:r>
              <w:rPr>
                <w:bCs/>
                <w:b/>
              </w:rPr>
              <w:t xml:space="preserve">Bank:</w:t>
            </w:r>
            <w:r>
              <w:t xml:space="preserve"> </w:t>
            </w:r>
            <w:r>
              <w:t xml:space="preserve">National Bank of Egypt, Branch: Smouha, Egypt Alexandria</w:t>
            </w:r>
          </w:p>
        </w:tc>
      </w:tr>
    </w:tbl>
    <w:p>
      <w:pPr>
        <w:pStyle w:val="BodyText"/>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Alexandria Medical Supply &amp; Equipment Co., Ltd.</w:t>
            </w:r>
          </w:p>
        </w:tc>
        <w:tc>
          <w:tcPr/>
          <w:p>
            <w:pPr>
              <w:pStyle w:val="Compact"/>
              <w:jc w:val="left"/>
            </w:pPr>
            <w:r>
              <w:rPr>
                <w:bCs/>
                <w:b/>
              </w:rPr>
              <w:t xml:space="preserve">Commercial Reg. No.:</w:t>
            </w:r>
            <w:r>
              <w:t xml:space="preserve"> </w:t>
            </w:r>
            <w:r>
              <w:t xml:space="preserve">CR-ALX-2003-1187</w:t>
            </w:r>
          </w:p>
        </w:tc>
      </w:tr>
      <w:tr>
        <w:tc>
          <w:tcPr/>
          <w:p>
            <w:pPr>
              <w:pStyle w:val="Compact"/>
              <w:jc w:val="left"/>
            </w:pPr>
            <w:r>
              <w:rPr>
                <w:bCs/>
                <w:b/>
              </w:rPr>
              <w:t xml:space="preserve">Address:</w:t>
            </w:r>
            <w:r>
              <w:t xml:space="preserve"> </w:t>
            </w:r>
            <w:r>
              <w:t xml:space="preserve">142 Corniche El-Nil Street, Smouha District, Egypt Alexandria, 21542</w:t>
            </w:r>
          </w:p>
        </w:tc>
        <w:tc>
          <w:tcPr/>
          <w:p>
            <w:pPr>
              <w:pStyle w:val="Compact"/>
              <w:jc w:val="left"/>
            </w:pPr>
            <w:r>
              <w:rPr>
                <w:bCs/>
                <w:b/>
              </w:rPr>
              <w:t xml:space="preserve">VAT No.:</w:t>
            </w:r>
            <w:r>
              <w:t xml:space="preserve"> </w:t>
            </w:r>
            <w:r>
              <w:t xml:space="preserve">528-441-907-001</w:t>
            </w:r>
          </w:p>
        </w:tc>
      </w:tr>
      <w:tr>
        <w:tc>
          <w:tcPr/>
          <w:p>
            <w:pPr>
              <w:pStyle w:val="Compact"/>
              <w:jc w:val="left"/>
            </w:pPr>
            <w:r>
              <w:rPr>
                <w:bCs/>
                <w:b/>
              </w:rPr>
              <w:t xml:space="preserve">Contact:</w:t>
            </w:r>
            <w:r>
              <w:t xml:space="preserve"> </w:t>
            </w:r>
            <w:r>
              <w:t xml:space="preserve">Ms. Nour El-Din, Procurement Manager</w:t>
            </w:r>
          </w:p>
        </w:tc>
        <w:tc>
          <w:tcPr/>
          <w:p>
            <w:pPr>
              <w:pStyle w:val="Compact"/>
              <w:jc w:val="left"/>
            </w:pPr>
            <w:r>
              <w:rPr>
                <w:bCs/>
                <w:b/>
              </w:rPr>
              <w:t xml:space="preserve">Phone:</w:t>
            </w:r>
            <w:r>
              <w:t xml:space="preserve"> </w:t>
            </w:r>
            <w:r>
              <w:t xml:space="preserve">+20-3-552-8841</w:t>
            </w:r>
          </w:p>
        </w:tc>
      </w:tr>
    </w:tbl>
    <w:p>
      <w:pPr>
        <w:pStyle w:val="BodyText"/>
      </w:pPr>
      <w:r>
        <w:t xml:space="preserve">3. ORDER DETAILS – ITEMS FOR DOCTOR GENERAL PRACTITIONER CLINIC</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c>
          <w:tcPr/>
          <w:p>
            <w:pPr>
              <w:pStyle w:val="Compact"/>
              <w:jc w:val="left"/>
            </w:pPr>
            <w:r>
              <w:t xml:space="preserve">Warranty</w:t>
            </w:r>
          </w:p>
        </w:tc>
      </w:tr>
      <w:tr>
        <w:tc>
          <w:tcPr/>
          <w:p>
            <w:pPr>
              <w:pStyle w:val="Compact"/>
              <w:jc w:val="left"/>
            </w:pPr>
            <w:r>
              <w:t xml:space="preserve">1</w:t>
            </w:r>
          </w:p>
        </w:tc>
        <w:tc>
          <w:tcPr/>
          <w:p>
            <w:pPr>
              <w:pStyle w:val="Compact"/>
              <w:jc w:val="left"/>
            </w:pPr>
            <w:r>
              <w:t xml:space="preserve">Hydraulic Examination Table with Adjustable Backrest – CE Certified, suitable for a Doctor General Practitioner consultation room</w:t>
            </w:r>
          </w:p>
        </w:tc>
        <w:tc>
          <w:tcPr/>
          <w:p>
            <w:pPr>
              <w:pStyle w:val="Compact"/>
              <w:jc w:val="left"/>
            </w:pPr>
            <w:r>
              <w:t xml:space="preserve">2</w:t>
            </w:r>
          </w:p>
        </w:tc>
        <w:tc>
          <w:tcPr/>
          <w:p>
            <w:pPr>
              <w:pStyle w:val="Compact"/>
              <w:jc w:val="left"/>
            </w:pPr>
            <w:r>
              <w:t xml:space="preserve">Unit</w:t>
            </w:r>
          </w:p>
        </w:tc>
        <w:tc>
          <w:tcPr/>
          <w:p>
            <w:pPr>
              <w:pStyle w:val="Compact"/>
              <w:jc w:val="left"/>
            </w:pPr>
            <w:r>
              <w:t xml:space="preserve">18,500.00</w:t>
            </w:r>
          </w:p>
        </w:tc>
        <w:tc>
          <w:tcPr/>
          <w:p>
            <w:pPr>
              <w:pStyle w:val="Compact"/>
              <w:jc w:val="left"/>
            </w:pPr>
            <w:r>
              <w:t xml:space="preserve">37,000.00</w:t>
            </w:r>
          </w:p>
        </w:tc>
        <w:tc>
          <w:tcPr/>
          <w:p>
            <w:pPr>
              <w:pStyle w:val="Compact"/>
              <w:jc w:val="left"/>
            </w:pPr>
            <w:r>
              <w:t xml:space="preserve">2 Years</w:t>
            </w:r>
          </w:p>
        </w:tc>
      </w:tr>
      <w:tr>
        <w:tc>
          <w:tcPr/>
          <w:p>
            <w:pPr>
              <w:pStyle w:val="Compact"/>
              <w:jc w:val="left"/>
            </w:pPr>
            <w:r>
              <w:t xml:space="preserve">2</w:t>
            </w:r>
          </w:p>
        </w:tc>
        <w:tc>
          <w:tcPr/>
          <w:p>
            <w:pPr>
              <w:pStyle w:val="Compact"/>
              <w:jc w:val="left"/>
            </w:pPr>
            <w:r>
              <w:t xml:space="preserve">Electronic Sphygmomanometer (Blood Pressure Monitor) – Omron HBP-1120, calibrated for clinical use by a Doctor General Practitioner in Egypt Alexandria</w:t>
            </w:r>
          </w:p>
        </w:tc>
        <w:tc>
          <w:tcPr/>
          <w:p>
            <w:pPr>
              <w:pStyle w:val="Compact"/>
              <w:jc w:val="left"/>
            </w:pPr>
            <w:r>
              <w:t xml:space="preserve">4</w:t>
            </w:r>
          </w:p>
        </w:tc>
        <w:tc>
          <w:tcPr/>
          <w:p>
            <w:pPr>
              <w:pStyle w:val="Compact"/>
              <w:jc w:val="left"/>
            </w:pPr>
            <w:r>
              <w:t xml:space="preserve">Unit</w:t>
            </w:r>
          </w:p>
        </w:tc>
        <w:tc>
          <w:tcPr/>
          <w:p>
            <w:pPr>
              <w:pStyle w:val="Compact"/>
              <w:jc w:val="left"/>
            </w:pPr>
            <w:r>
              <w:t xml:space="preserve">2,350.00</w:t>
            </w:r>
          </w:p>
        </w:tc>
        <w:tc>
          <w:tcPr/>
          <w:p>
            <w:pPr>
              <w:pStyle w:val="Compact"/>
              <w:jc w:val="left"/>
            </w:pPr>
            <w:r>
              <w:t xml:space="preserve">9,400.00</w:t>
            </w:r>
          </w:p>
        </w:tc>
        <w:tc>
          <w:tcPr/>
          <w:p>
            <w:pPr>
              <w:pStyle w:val="Compact"/>
              <w:jc w:val="left"/>
            </w:pPr>
            <w:r>
              <w:t xml:space="preserve">1 Year</w:t>
            </w:r>
          </w:p>
        </w:tc>
      </w:tr>
      <w:tr>
        <w:tc>
          <w:tcPr/>
          <w:p>
            <w:pPr>
              <w:pStyle w:val="Compact"/>
              <w:jc w:val="left"/>
            </w:pPr>
            <w:r>
              <w:t xml:space="preserve">3</w:t>
            </w:r>
          </w:p>
        </w:tc>
        <w:tc>
          <w:tcPr/>
          <w:p>
            <w:pPr>
              <w:pStyle w:val="Compact"/>
              <w:jc w:val="left"/>
            </w:pPr>
            <w:r>
              <w:t xml:space="preserve">Digital Infrared Thermometer – Medical Grade, for patient triage at the Doctor General Practitioner reception</w:t>
            </w:r>
          </w:p>
        </w:tc>
        <w:tc>
          <w:tcPr/>
          <w:p>
            <w:pPr>
              <w:pStyle w:val="Compact"/>
              <w:jc w:val="left"/>
            </w:pPr>
            <w:r>
              <w:t xml:space="preserve">6</w:t>
            </w:r>
          </w:p>
        </w:tc>
        <w:tc>
          <w:tcPr/>
          <w:p>
            <w:pPr>
              <w:pStyle w:val="Compact"/>
              <w:jc w:val="left"/>
            </w:pPr>
            <w:r>
              <w:t xml:space="preserve">Unit</w:t>
            </w:r>
          </w:p>
        </w:tc>
        <w:tc>
          <w:tcPr/>
          <w:p>
            <w:pPr>
              <w:pStyle w:val="Compact"/>
              <w:jc w:val="left"/>
            </w:pPr>
            <w:r>
              <w:t xml:space="preserve">850.00</w:t>
            </w:r>
          </w:p>
        </w:tc>
        <w:tc>
          <w:tcPr/>
          <w:p>
            <w:pPr>
              <w:pStyle w:val="Compact"/>
              <w:jc w:val="left"/>
            </w:pPr>
            <w:r>
              <w:t xml:space="preserve">5,100.00</w:t>
            </w:r>
          </w:p>
        </w:tc>
        <w:tc>
          <w:tcPr/>
          <w:p>
            <w:pPr>
              <w:pStyle w:val="Compact"/>
              <w:jc w:val="left"/>
            </w:pPr>
            <w:r>
              <w:t xml:space="preserve">1 Year</w:t>
            </w:r>
          </w:p>
        </w:tc>
      </w:tr>
      <w:tr>
        <w:tc>
          <w:tcPr/>
          <w:p>
            <w:pPr>
              <w:pStyle w:val="Compact"/>
              <w:jc w:val="left"/>
            </w:pPr>
            <w:r>
              <w:t xml:space="preserve">4</w:t>
            </w:r>
          </w:p>
        </w:tc>
        <w:tc>
          <w:tcPr/>
          <w:p>
            <w:pPr>
              <w:pStyle w:val="Compact"/>
              <w:jc w:val="left"/>
            </w:pPr>
            <w:r>
              <w:t xml:space="preserve">Stethoscope – Littmann Classic III, dual-head, for daily auscultation by the Doctor General Practitioner</w:t>
            </w:r>
          </w:p>
        </w:tc>
        <w:tc>
          <w:tcPr/>
          <w:p>
            <w:pPr>
              <w:pStyle w:val="Compact"/>
              <w:jc w:val="left"/>
            </w:pPr>
            <w:r>
              <w:t xml:space="preserve">3</w:t>
            </w:r>
          </w:p>
        </w:tc>
        <w:tc>
          <w:tcPr/>
          <w:p>
            <w:pPr>
              <w:pStyle w:val="Compact"/>
              <w:jc w:val="left"/>
            </w:pPr>
            <w:r>
              <w:t xml:space="preserve">Unit</w:t>
            </w:r>
          </w:p>
        </w:tc>
        <w:tc>
          <w:tcPr/>
          <w:p>
            <w:pPr>
              <w:pStyle w:val="Compact"/>
              <w:jc w:val="left"/>
            </w:pPr>
            <w:r>
              <w:t xml:space="preserve">3,200.00</w:t>
            </w:r>
          </w:p>
        </w:tc>
        <w:tc>
          <w:tcPr/>
          <w:p>
            <w:pPr>
              <w:pStyle w:val="Compact"/>
              <w:jc w:val="left"/>
            </w:pPr>
            <w:r>
              <w:t xml:space="preserve">9,600.00</w:t>
            </w:r>
          </w:p>
        </w:tc>
        <w:tc>
          <w:tcPr/>
          <w:p>
            <w:pPr>
              <w:pStyle w:val="Compact"/>
              <w:jc w:val="left"/>
            </w:pPr>
            <w:r>
              <w:t xml:space="preserve">3 Years</w:t>
            </w:r>
          </w:p>
        </w:tc>
      </w:tr>
      <w:tr>
        <w:tc>
          <w:tcPr/>
          <w:p>
            <w:pPr>
              <w:pStyle w:val="Compact"/>
              <w:jc w:val="left"/>
            </w:pPr>
            <w:r>
              <w:t xml:space="preserve">5</w:t>
            </w:r>
          </w:p>
        </w:tc>
        <w:tc>
          <w:tcPr/>
          <w:p>
            <w:pPr>
              <w:pStyle w:val="Compact"/>
              <w:jc w:val="left"/>
            </w:pPr>
            <w:r>
              <w:t xml:space="preserve">Portable ECG Machine – 12-Lead, with printer, for cardiac screening in a Doctor General Practitioner setting in Egypt Alexandria</w:t>
            </w:r>
          </w:p>
        </w:tc>
        <w:tc>
          <w:tcPr/>
          <w:p>
            <w:pPr>
              <w:pStyle w:val="Compact"/>
              <w:jc w:val="left"/>
            </w:pPr>
            <w:r>
              <w:t xml:space="preserve">1</w:t>
            </w:r>
          </w:p>
        </w:tc>
        <w:tc>
          <w:tcPr/>
          <w:p>
            <w:pPr>
              <w:pStyle w:val="Compact"/>
              <w:jc w:val="left"/>
            </w:pPr>
            <w:r>
              <w:t xml:space="preserve">Unit</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2 Years</w:t>
            </w:r>
          </w:p>
        </w:tc>
      </w:tr>
      <w:tr>
        <w:tc>
          <w:tcPr/>
          <w:p>
            <w:pPr>
              <w:pStyle w:val="Compact"/>
              <w:jc w:val="left"/>
            </w:pPr>
            <w:r>
              <w:t xml:space="preserve">6</w:t>
            </w:r>
          </w:p>
        </w:tc>
        <w:tc>
          <w:tcPr/>
          <w:p>
            <w:pPr>
              <w:pStyle w:val="Compact"/>
              <w:jc w:val="left"/>
            </w:pPr>
            <w:r>
              <w:t xml:space="preserve">Otoscope &amp; Ophthalmoscope Set – Penlight, LED, for ENT and ophthalmic checks by the Doctor General Practitioner</w:t>
            </w:r>
          </w:p>
        </w:tc>
        <w:tc>
          <w:tcPr/>
          <w:p>
            <w:pPr>
              <w:pStyle w:val="Compact"/>
              <w:jc w:val="left"/>
            </w:pPr>
            <w:r>
              <w:t xml:space="preserve">4</w:t>
            </w:r>
          </w:p>
        </w:tc>
        <w:tc>
          <w:tcPr/>
          <w:p>
            <w:pPr>
              <w:pStyle w:val="Compact"/>
              <w:jc w:val="left"/>
            </w:pPr>
            <w:r>
              <w:t xml:space="preserve">Set</w:t>
            </w:r>
          </w:p>
        </w:tc>
        <w:tc>
          <w:tcPr/>
          <w:p>
            <w:pPr>
              <w:pStyle w:val="Compact"/>
              <w:jc w:val="left"/>
            </w:pPr>
            <w:r>
              <w:t xml:space="preserve">1,750.00</w:t>
            </w:r>
          </w:p>
        </w:tc>
        <w:tc>
          <w:tcPr/>
          <w:p>
            <w:pPr>
              <w:pStyle w:val="Compact"/>
              <w:jc w:val="left"/>
            </w:pPr>
            <w:r>
              <w:t xml:space="preserve">7,000.00</w:t>
            </w:r>
          </w:p>
        </w:tc>
        <w:tc>
          <w:tcPr/>
          <w:p>
            <w:pPr>
              <w:pStyle w:val="Compact"/>
              <w:jc w:val="left"/>
            </w:pPr>
            <w:r>
              <w:t xml:space="preserve">1 Year</w:t>
            </w:r>
          </w:p>
        </w:tc>
      </w:tr>
      <w:tr>
        <w:tc>
          <w:tcPr/>
          <w:p>
            <w:pPr>
              <w:pStyle w:val="Compact"/>
              <w:jc w:val="left"/>
            </w:pPr>
            <w:r>
              <w:t xml:space="preserve">7</w:t>
            </w:r>
          </w:p>
        </w:tc>
        <w:tc>
          <w:tcPr/>
          <w:p>
            <w:pPr>
              <w:pStyle w:val="Compact"/>
              <w:jc w:val="left"/>
            </w:pPr>
            <w:r>
              <w:t xml:space="preserve">Autoclave Sterilizer – 18L, for instrument sterilization in the Doctor General Practitioner procedure room</w:t>
            </w:r>
          </w:p>
        </w:tc>
        <w:tc>
          <w:tcPr/>
          <w:p>
            <w:pPr>
              <w:pStyle w:val="Compact"/>
              <w:jc w:val="left"/>
            </w:pPr>
            <w:r>
              <w:t xml:space="preserve">1</w:t>
            </w:r>
          </w:p>
        </w:tc>
        <w:tc>
          <w:tcPr/>
          <w:p>
            <w:pPr>
              <w:pStyle w:val="Compact"/>
              <w:jc w:val="left"/>
            </w:pPr>
            <w:r>
              <w:t xml:space="preserve">Unit</w:t>
            </w:r>
          </w:p>
        </w:tc>
        <w:tc>
          <w:tcPr/>
          <w:p>
            <w:pPr>
              <w:pStyle w:val="Compact"/>
              <w:jc w:val="left"/>
            </w:pPr>
            <w:r>
              <w:t xml:space="preserve">28,500.00</w:t>
            </w:r>
          </w:p>
        </w:tc>
        <w:tc>
          <w:tcPr/>
          <w:p>
            <w:pPr>
              <w:pStyle w:val="Compact"/>
              <w:jc w:val="left"/>
            </w:pPr>
            <w:r>
              <w:t xml:space="preserve">28,500.00</w:t>
            </w:r>
          </w:p>
        </w:tc>
        <w:tc>
          <w:tcPr/>
          <w:p>
            <w:pPr>
              <w:pStyle w:val="Compact"/>
              <w:jc w:val="left"/>
            </w:pPr>
            <w:r>
              <w:t xml:space="preserve">2 Years</w:t>
            </w:r>
          </w:p>
        </w:tc>
      </w:tr>
      <w:tr>
        <w:tc>
          <w:tcPr/>
          <w:p>
            <w:pPr>
              <w:pStyle w:val="Compact"/>
              <w:jc w:val="left"/>
            </w:pPr>
            <w:r>
              <w:t xml:space="preserve">8</w:t>
            </w:r>
          </w:p>
        </w:tc>
        <w:tc>
          <w:tcPr/>
          <w:p>
            <w:pPr>
              <w:pStyle w:val="Compact"/>
              <w:jc w:val="left"/>
            </w:pPr>
            <w:r>
              <w:t xml:space="preserve">Medical Examination Gloves – Nitrile, Powder-Free, Box of 100 (Assorted Sizes S/M/L/XL)</w:t>
            </w:r>
          </w:p>
        </w:tc>
        <w:tc>
          <w:tcPr/>
          <w:p>
            <w:pPr>
              <w:pStyle w:val="Compact"/>
              <w:jc w:val="left"/>
            </w:pPr>
            <w:r>
              <w:t xml:space="preserve">50</w:t>
            </w:r>
          </w:p>
        </w:tc>
        <w:tc>
          <w:tcPr/>
          <w:p>
            <w:pPr>
              <w:pStyle w:val="Compact"/>
              <w:jc w:val="left"/>
            </w:pPr>
            <w:r>
              <w:t xml:space="preserve">Box</w:t>
            </w:r>
          </w:p>
        </w:tc>
        <w:tc>
          <w:tcPr/>
          <w:p>
            <w:pPr>
              <w:pStyle w:val="Compact"/>
              <w:jc w:val="left"/>
            </w:pPr>
            <w:r>
              <w:t xml:space="preserve">185.00</w:t>
            </w:r>
          </w:p>
        </w:tc>
        <w:tc>
          <w:tcPr/>
          <w:p>
            <w:pPr>
              <w:pStyle w:val="Compact"/>
              <w:jc w:val="left"/>
            </w:pPr>
            <w:r>
              <w:t xml:space="preserve">9,250.00</w:t>
            </w:r>
          </w:p>
        </w:tc>
        <w:tc>
          <w:tcPr/>
          <w:p>
            <w:pPr>
              <w:pStyle w:val="Compact"/>
              <w:jc w:val="left"/>
            </w:pPr>
            <w:r>
              <w:t xml:space="preserve">N/A</w:t>
            </w:r>
          </w:p>
        </w:tc>
      </w:tr>
      <w:tr>
        <w:tc>
          <w:tcPr/>
          <w:p>
            <w:pPr>
              <w:pStyle w:val="Compact"/>
              <w:jc w:val="left"/>
            </w:pPr>
            <w:r>
              <w:t xml:space="preserve">9</w:t>
            </w:r>
          </w:p>
        </w:tc>
        <w:tc>
          <w:tcPr/>
          <w:p>
            <w:pPr>
              <w:pStyle w:val="Compact"/>
              <w:jc w:val="left"/>
            </w:pPr>
            <w:r>
              <w:t xml:space="preserve">Disposable Syringes – 1ml, 5ml, 10ml, 20ml (Assorted Pack of 200)</w:t>
            </w:r>
          </w:p>
        </w:tc>
        <w:tc>
          <w:tcPr/>
          <w:p>
            <w:pPr>
              <w:pStyle w:val="Compact"/>
              <w:jc w:val="left"/>
            </w:pPr>
            <w:r>
              <w:t xml:space="preserve">30</w:t>
            </w:r>
          </w:p>
        </w:tc>
        <w:tc>
          <w:tcPr/>
          <w:p>
            <w:pPr>
              <w:pStyle w:val="Compact"/>
              <w:jc w:val="left"/>
            </w:pPr>
            <w:r>
              <w:t xml:space="preserve">Pack</w:t>
            </w:r>
          </w:p>
        </w:tc>
        <w:tc>
          <w:tcPr/>
          <w:p>
            <w:pPr>
              <w:pStyle w:val="Compact"/>
              <w:jc w:val="left"/>
            </w:pPr>
            <w:r>
              <w:t xml:space="preserve">320.00</w:t>
            </w:r>
          </w:p>
        </w:tc>
        <w:tc>
          <w:tcPr/>
          <w:p>
            <w:pPr>
              <w:pStyle w:val="Compact"/>
              <w:jc w:val="left"/>
            </w:pPr>
            <w:r>
              <w:t xml:space="preserve">9,600.00</w:t>
            </w:r>
          </w:p>
        </w:tc>
        <w:tc>
          <w:tcPr/>
          <w:p>
            <w:pPr>
              <w:pStyle w:val="Compact"/>
              <w:jc w:val="left"/>
            </w:pPr>
            <w:r>
              <w:t xml:space="preserve">N/A</w:t>
            </w:r>
          </w:p>
        </w:tc>
      </w:tr>
      <w:tr>
        <w:tc>
          <w:tcPr/>
          <w:p>
            <w:pPr>
              <w:pStyle w:val="Compact"/>
              <w:jc w:val="left"/>
            </w:pPr>
            <w:r>
              <w:t xml:space="preserve">10</w:t>
            </w:r>
          </w:p>
        </w:tc>
        <w:tc>
          <w:tcPr/>
          <w:p>
            <w:pPr>
              <w:pStyle w:val="Compact"/>
              <w:jc w:val="left"/>
            </w:pPr>
            <w:r>
              <w:t xml:space="preserve">First Aid Kit – Comprehensive, 48-piece, for the Doctor General Practitioner emergency response in Egypt Alexandria</w:t>
            </w:r>
          </w:p>
        </w:tc>
        <w:tc>
          <w:tcPr/>
          <w:p>
            <w:pPr>
              <w:pStyle w:val="Compact"/>
              <w:jc w:val="left"/>
            </w:pPr>
            <w:r>
              <w:t xml:space="preserve">2</w:t>
            </w:r>
          </w:p>
        </w:tc>
        <w:tc>
          <w:tcPr/>
          <w:p>
            <w:pPr>
              <w:pStyle w:val="Compact"/>
              <w:jc w:val="left"/>
            </w:pPr>
            <w:r>
              <w:t xml:space="preserve">Kit</w:t>
            </w:r>
          </w:p>
        </w:tc>
        <w:tc>
          <w:tcPr/>
          <w:p>
            <w:pPr>
              <w:pStyle w:val="Compact"/>
              <w:jc w:val="left"/>
            </w:pPr>
            <w:r>
              <w:t xml:space="preserve">2,100.00</w:t>
            </w:r>
          </w:p>
        </w:tc>
        <w:tc>
          <w:tcPr/>
          <w:p>
            <w:pPr>
              <w:pStyle w:val="Compact"/>
              <w:jc w:val="left"/>
            </w:pPr>
            <w:r>
              <w:t xml:space="preserve">4,200.00</w:t>
            </w:r>
          </w:p>
        </w:tc>
        <w:tc>
          <w:tcPr/>
          <w:p>
            <w:pPr>
              <w:pStyle w:val="Compact"/>
              <w:jc w:val="left"/>
            </w:pPr>
            <w:r>
              <w:t xml:space="preserve">N/A</w:t>
            </w:r>
          </w:p>
        </w:tc>
      </w:tr>
      <w:tr>
        <w:tc>
          <w:tcPr/>
          <w:p>
            <w:pPr>
              <w:pStyle w:val="Compact"/>
              <w:jc w:val="left"/>
            </w:pPr>
            <w:r>
              <w:t xml:space="preserve">11</w:t>
            </w:r>
          </w:p>
        </w:tc>
        <w:tc>
          <w:tcPr/>
          <w:p>
            <w:pPr>
              <w:pStyle w:val="Compact"/>
              <w:jc w:val="left"/>
            </w:pPr>
            <w:r>
              <w:t xml:space="preserve">Medical Waste Disposal Bins – Color-coded (Red/Yellow), 60L, with pedal, for the Doctor General Practitioner clinic</w:t>
            </w:r>
          </w:p>
        </w:tc>
        <w:tc>
          <w:tcPr/>
          <w:p>
            <w:pPr>
              <w:pStyle w:val="Compact"/>
              <w:jc w:val="left"/>
            </w:pPr>
            <w:r>
              <w:t xml:space="preserve">4</w:t>
            </w:r>
          </w:p>
        </w:tc>
        <w:tc>
          <w:tcPr/>
          <w:p>
            <w:pPr>
              <w:pStyle w:val="Compact"/>
              <w:jc w:val="left"/>
            </w:pPr>
            <w:r>
              <w:t xml:space="preserve">Unit</w:t>
            </w:r>
          </w:p>
        </w:tc>
        <w:tc>
          <w:tcPr/>
          <w:p>
            <w:pPr>
              <w:pStyle w:val="Compact"/>
              <w:jc w:val="left"/>
            </w:pPr>
            <w:r>
              <w:t xml:space="preserve">1,450.00</w:t>
            </w:r>
          </w:p>
        </w:tc>
        <w:tc>
          <w:tcPr/>
          <w:p>
            <w:pPr>
              <w:pStyle w:val="Compact"/>
              <w:jc w:val="left"/>
            </w:pPr>
            <w:r>
              <w:t xml:space="preserve">5,800.00</w:t>
            </w:r>
          </w:p>
        </w:tc>
        <w:tc>
          <w:tcPr/>
          <w:p>
            <w:pPr>
              <w:pStyle w:val="Compact"/>
              <w:jc w:val="left"/>
            </w:pPr>
            <w:r>
              <w:t xml:space="preserve">1 Year</w:t>
            </w:r>
          </w:p>
        </w:tc>
      </w:tr>
      <w:tr>
        <w:tc>
          <w:tcPr/>
          <w:p>
            <w:pPr>
              <w:pStyle w:val="Compact"/>
              <w:jc w:val="left"/>
            </w:pPr>
            <w:r>
              <w:t xml:space="preserve">12</w:t>
            </w:r>
          </w:p>
        </w:tc>
        <w:tc>
          <w:tcPr/>
          <w:p>
            <w:pPr>
              <w:pStyle w:val="Compact"/>
              <w:jc w:val="left"/>
            </w:pPr>
            <w:r>
              <w:t xml:space="preserve">Patient Waiting Area Chairs – Medical-grade, 4-seater, for the Doctor General Practitioner waiting room in Egypt Alexandria</w:t>
            </w:r>
          </w:p>
        </w:tc>
        <w:tc>
          <w:tcPr/>
          <w:p>
            <w:pPr>
              <w:pStyle w:val="Compact"/>
              <w:jc w:val="left"/>
            </w:pPr>
            <w:r>
              <w:t xml:space="preserve">3</w:t>
            </w:r>
          </w:p>
        </w:tc>
        <w:tc>
          <w:tcPr/>
          <w:p>
            <w:pPr>
              <w:pStyle w:val="Compact"/>
              <w:jc w:val="left"/>
            </w:pPr>
            <w:r>
              <w:t xml:space="preserve">Unit</w:t>
            </w:r>
          </w:p>
        </w:tc>
        <w:tc>
          <w:tcPr/>
          <w:p>
            <w:pPr>
              <w:pStyle w:val="Compact"/>
              <w:jc w:val="left"/>
            </w:pPr>
            <w:r>
              <w:t xml:space="preserve">6,800.00</w:t>
            </w:r>
          </w:p>
        </w:tc>
        <w:tc>
          <w:tcPr/>
          <w:p>
            <w:pPr>
              <w:pStyle w:val="Compact"/>
              <w:jc w:val="left"/>
            </w:pPr>
            <w:r>
              <w:t xml:space="preserve">20,400.00</w:t>
            </w:r>
          </w:p>
        </w:tc>
        <w:tc>
          <w:tcPr/>
          <w:p>
            <w:pPr>
              <w:pStyle w:val="Compact"/>
              <w:jc w:val="left"/>
            </w:pPr>
            <w:r>
              <w:t xml:space="preserve">1 Year</w:t>
            </w:r>
          </w:p>
        </w:tc>
      </w:tr>
      <w:tr>
        <w:tc>
          <w:tcPr>
            <w:gridSpan w:val="5"/>
          </w:tcPr>
          <w:p>
            <w:pPr>
              <w:pStyle w:val="Compact"/>
              <w:jc w:val="right"/>
            </w:pPr>
            <w:r>
              <w:t xml:space="preserve">SUBTOTAL</w:t>
            </w:r>
          </w:p>
        </w:tc>
        <w:tc>
          <w:tcPr/>
          <w:p>
            <w:pPr>
              <w:pStyle w:val="Compact"/>
              <w:jc w:val="left"/>
            </w:pPr>
            <w:r>
              <w:t xml:space="preserve">187,850.00</w:t>
            </w:r>
          </w:p>
        </w:tc>
        <w:tc>
          <w:tcPr/>
          <w:p>
            <w:pPr>
              <w:pStyle w:val="Compact"/>
            </w:pPr>
          </w:p>
        </w:tc>
      </w:tr>
      <w:tr>
        <w:tc>
          <w:tcPr>
            <w:gridSpan w:val="5"/>
          </w:tcPr>
          <w:p>
            <w:pPr>
              <w:pStyle w:val="Compact"/>
              <w:jc w:val="right"/>
            </w:pPr>
            <w:r>
              <w:t xml:space="preserve">VAT (14%)</w:t>
            </w:r>
          </w:p>
        </w:tc>
        <w:tc>
          <w:tcPr/>
          <w:p>
            <w:pPr>
              <w:pStyle w:val="Compact"/>
              <w:jc w:val="left"/>
            </w:pPr>
            <w:r>
              <w:t xml:space="preserve">26,300.00</w:t>
            </w:r>
          </w:p>
        </w:tc>
        <w:tc>
          <w:tcPr/>
          <w:p>
            <w:pPr>
              <w:pStyle w:val="Compact"/>
            </w:pPr>
          </w:p>
        </w:tc>
      </w:tr>
      <w:tr>
        <w:tc>
          <w:tcPr>
            <w:gridSpan w:val="5"/>
          </w:tcPr>
          <w:p>
            <w:pPr>
              <w:pStyle w:val="Compact"/>
              <w:jc w:val="right"/>
            </w:pPr>
            <w:r>
              <w:t xml:space="preserve">DELIVERY &amp; INSTALLATION (Egypt Alexandria)</w:t>
            </w:r>
          </w:p>
        </w:tc>
        <w:tc>
          <w:tcPr/>
          <w:p>
            <w:pPr>
              <w:pStyle w:val="Compact"/>
              <w:jc w:val="left"/>
            </w:pPr>
            <w:r>
              <w:t xml:space="preserve">4,500.00</w:t>
            </w:r>
          </w:p>
        </w:tc>
        <w:tc>
          <w:tcPr/>
          <w:p>
            <w:pPr>
              <w:pStyle w:val="Compact"/>
            </w:pPr>
          </w:p>
        </w:tc>
      </w:tr>
      <w:tr>
        <w:tc>
          <w:tcPr>
            <w:gridSpan w:val="5"/>
          </w:tcPr>
          <w:p>
            <w:pPr>
              <w:pStyle w:val="Compact"/>
              <w:jc w:val="right"/>
            </w:pPr>
            <w:r>
              <w:t xml:space="preserve">GRAND TOTAL (EGP)</w:t>
            </w:r>
          </w:p>
        </w:tc>
        <w:tc>
          <w:tcPr/>
          <w:p>
            <w:pPr>
              <w:pStyle w:val="Compact"/>
              <w:jc w:val="left"/>
            </w:pPr>
            <w:r>
              <w:t xml:space="preserve">218,650.00</w:t>
            </w:r>
          </w:p>
        </w:tc>
        <w:tc>
          <w:tcPr/>
          <w:p>
            <w:pPr>
              <w:pStyle w:val="Compact"/>
            </w:pPr>
          </w:p>
        </w:tc>
      </w:tr>
    </w:tbl>
    <w:p>
      <w:pPr>
        <w:pStyle w:val="BodyText"/>
      </w:pPr>
      <w:r>
        <w:t xml:space="preserve">4. DELIVERY INSTRUCTIONS</w:t>
      </w:r>
    </w:p>
    <w:p>
      <w:pPr>
        <w:pStyle w:val="BodyText"/>
      </w:pPr>
      <w:r>
        <w:t xml:space="preserve">All items listed in this Purchase Order shall be delivered to the Doctor General Practitioner clinic located at 27 Fouad Street, Mansheya District, Egypt Alexandria, 21411. Delivery must be completed no later than 30 June 2025 between the hours of 09:00 and 16:00 local time. The supplier is responsible for all transportation, unloading, and on-site installation of equipment within the Egypt Alexandria premises. All medical devices must carry valid Egyptian Medical Authority (EMA) registration certificates prior to delivery. The Doctor General Practitioner or an authorized clinic representative must be present at the time of delivery to inspect and sign the delivery receipt.</w:t>
      </w:r>
    </w:p>
    <w:p>
      <w:pPr>
        <w:pStyle w:val="BodyText"/>
      </w:pPr>
      <w:r>
        <w:t xml:space="preserve">5. TERMS AND CONDITIONS</w:t>
      </w:r>
    </w:p>
    <w:p>
      <w:pPr>
        <w:numPr>
          <w:ilvl w:val="0"/>
          <w:numId w:val="1001"/>
        </w:numPr>
        <w:pStyle w:val="Compact"/>
      </w:pPr>
      <w:r>
        <w:t xml:space="preserve">This Purchase Order is issued by Dr. Hassan El-Masry, Doctor General Practitioner, for the operational needs of his private clinic in Egypt Alexandria. Acceptance of this order constitutes full agreement to all terms stated herein.</w:t>
      </w:r>
    </w:p>
    <w:p>
      <w:pPr>
        <w:numPr>
          <w:ilvl w:val="0"/>
          <w:numId w:val="1001"/>
        </w:numPr>
        <w:pStyle w:val="Compact"/>
      </w:pPr>
      <w:r>
        <w:t xml:space="preserve">Payment shall be made via bank transfer to the supplier's designated account within thirty (30) calendar days from the date of confirmed delivery and acceptance of all goods. Late payments shall incur a penalty of 1.5% per month as per Egyptian Commercial Law.</w:t>
      </w:r>
    </w:p>
    <w:p>
      <w:pPr>
        <w:numPr>
          <w:ilvl w:val="0"/>
          <w:numId w:val="1001"/>
        </w:numPr>
        <w:pStyle w:val="Compact"/>
      </w:pPr>
      <w:r>
        <w:t xml:space="preserve">All medical equipment must comply with the standards set by the Egyptian Medical Authority (EMA) and the Alexandria Health Directorate. The supplier warrants that all items are new, unused, and free from defects.</w:t>
      </w:r>
    </w:p>
    <w:p>
      <w:pPr>
        <w:numPr>
          <w:ilvl w:val="0"/>
          <w:numId w:val="1001"/>
        </w:numPr>
        <w:pStyle w:val="Compact"/>
      </w:pPr>
      <w:r>
        <w:t xml:space="preserve">The Doctor General Practitioner reserves the right to reject any item that does not meet the specifications outlined in this Purchase Order. Rejected items must be replaced within five (5) business days at no additional cost to the buyer.</w:t>
      </w:r>
    </w:p>
    <w:p>
      <w:pPr>
        <w:numPr>
          <w:ilvl w:val="0"/>
          <w:numId w:val="1001"/>
        </w:numPr>
        <w:pStyle w:val="Compact"/>
      </w:pPr>
      <w:r>
        <w:t xml:space="preserve">Warranty claims for equipment delivered under this Purchase Order shall be handled by the supplier's service center in Egypt Alexandria. Response time for warranty repairs shall not exceed seventy-two (72) hours from the date of claim.</w:t>
      </w:r>
    </w:p>
    <w:p>
      <w:pPr>
        <w:numPr>
          <w:ilvl w:val="0"/>
          <w:numId w:val="1001"/>
        </w:numPr>
        <w:pStyle w:val="Compact"/>
      </w:pPr>
      <w:r>
        <w:t xml:space="preserve">The supplier shall provide a comprehensive training session for the clinic staff on the operation and maintenance of the ECG machine, autoclave, and examination tables within seven (7) days of delivery.</w:t>
      </w:r>
    </w:p>
    <w:p>
      <w:pPr>
        <w:numPr>
          <w:ilvl w:val="0"/>
          <w:numId w:val="1001"/>
        </w:numPr>
        <w:pStyle w:val="Compact"/>
      </w:pPr>
      <w:r>
        <w:t xml:space="preserve">All consumable items (gloves, syringes, first aid kits) must have a minimum remaining shelf life of eighteen (18) months at the time of delivery to the Doctor General Practitioner clinic.</w:t>
      </w:r>
    </w:p>
    <w:p>
      <w:pPr>
        <w:numPr>
          <w:ilvl w:val="0"/>
          <w:numId w:val="1001"/>
        </w:numPr>
        <w:pStyle w:val="Compact"/>
      </w:pPr>
      <w:r>
        <w:t xml:space="preserve">This Purchase Order is governed by the laws of the Arab Republic of Egypt. Any disputes arising from this order shall be subject to the jurisdiction of the courts in Egypt Alexandria.</w:t>
      </w:r>
    </w:p>
    <w:p>
      <w:pPr>
        <w:numPr>
          <w:ilvl w:val="0"/>
          <w:numId w:val="1001"/>
        </w:numPr>
        <w:pStyle w:val="Compact"/>
      </w:pPr>
      <w:r>
        <w:t xml:space="preserve">The supplier shall maintain full insurance coverage for all goods in transit to the Egypt Alexandria delivery address. Risk of loss transfers to the buyer only upon signed delivery receipt.</w:t>
      </w:r>
    </w:p>
    <w:p>
      <w:pPr>
        <w:numPr>
          <w:ilvl w:val="0"/>
          <w:numId w:val="1001"/>
        </w:numPr>
        <w:pStyle w:val="Compact"/>
      </w:pPr>
      <w:r>
        <w:t xml:space="preserve">Any amendments to this Purchase Order must be made in writing and signed by both the Doctor General Practitioner (buyer) and the authorized representative of the supplier.</w:t>
      </w:r>
    </w:p>
    <w:p>
      <w:pPr>
        <w:pStyle w:val="FirstParagraph"/>
      </w:pPr>
      <w:r>
        <w:rPr>
          <w:bCs/>
          <w:b/>
        </w:rPr>
        <w:t xml:space="preserve">NOTE:</w:t>
      </w:r>
      <w:r>
        <w:t xml:space="preserve"> </w:t>
      </w:r>
      <w:r>
        <w:t xml:space="preserve">This Purchase Order is specifically tailored for a Doctor General Practitioner operating a primary care clinic in Egypt Alexandria. All equipment and supplies listed are selected to support comprehensive general practice services including consultation, minor procedures, diagnostic screening, and emergency first response. The Doctor General Practitioner is licensed under the Alexandria Health Directorate and this order supports the regulatory compliance requirements of the Egyptian Ministry of Health and Population.</w:t>
      </w:r>
    </w:p>
    <w:p>
      <w:pPr>
        <w:pStyle w:val="BodyText"/>
      </w:pPr>
      <w:r>
        <w:t xml:space="preserve">6. AUTHORIZATION AND SIGNATURES</w:t>
      </w:r>
    </w:p>
    <w:p>
      <w:pPr>
        <w:pStyle w:val="BodyText"/>
      </w:pPr>
      <w:r>
        <w:rPr>
          <w:bCs/>
          <w:b/>
        </w:rPr>
        <w:t xml:space="preserve">BUYER (Doctor General Practitioner)</w:t>
      </w:r>
    </w:p>
    <w:p>
      <w:pPr>
        <w:pStyle w:val="BodyText"/>
      </w:pPr>
      <w:r>
        <w:t xml:space="preserve">Dr. Hassan El-Masry, M.D.</w:t>
      </w:r>
    </w:p>
    <w:p>
      <w:pPr>
        <w:pStyle w:val="BodyText"/>
      </w:pPr>
      <w:r>
        <w:t xml:space="preserve">Doctor General Practitioner</w:t>
      </w:r>
    </w:p>
    <w:p>
      <w:pPr>
        <w:pStyle w:val="BodyText"/>
      </w:pPr>
      <w:r>
        <w:t xml:space="preserve">Date: _______________</w:t>
      </w:r>
    </w:p>
    <w:p>
      <w:pPr>
        <w:pStyle w:val="BodyText"/>
      </w:pPr>
      <w:r>
        <w:rPr>
          <w:bCs/>
          <w:b/>
        </w:rPr>
        <w:t xml:space="preserve">SUPPLIER (Authorized Representative)</w:t>
      </w:r>
    </w:p>
    <w:p>
      <w:pPr>
        <w:pStyle w:val="BodyText"/>
      </w:pPr>
      <w:r>
        <w:t xml:space="preserve">Ms. Nour El-Din</w:t>
      </w:r>
    </w:p>
    <w:p>
      <w:pPr>
        <w:pStyle w:val="BodyText"/>
      </w:pPr>
      <w:r>
        <w:t xml:space="preserve">Procurement Manager</w:t>
      </w:r>
    </w:p>
    <w:p>
      <w:pPr>
        <w:pStyle w:val="BodyText"/>
      </w:pPr>
      <w:r>
        <w:t xml:space="preserve">Alexandria Medical Supply &amp; Equipment Co., Ltd.</w:t>
      </w:r>
    </w:p>
    <w:p>
      <w:pPr>
        <w:pStyle w:val="BodyText"/>
      </w:pPr>
      <w:r>
        <w:t xml:space="preserve">Date: _______________</w:t>
      </w:r>
    </w:p>
    <w:p>
      <w:pPr>
        <w:pStyle w:val="BodyText"/>
      </w:pPr>
      <w:r>
        <w:rPr>
          <w:bCs/>
          <w:b/>
        </w:rPr>
        <w:t xml:space="preserve">Purchase Order No. PO-EGY-ALX-2025-04782</w:t>
      </w:r>
      <w:r>
        <w:t xml:space="preserve"> </w:t>
      </w:r>
      <w:r>
        <w:t xml:space="preserve">| Issued for: Doctor General Practitioner Clinic, Egypt Alexandria</w:t>
      </w:r>
    </w:p>
    <w:p>
      <w:pPr>
        <w:pStyle w:val="BodyText"/>
      </w:pPr>
      <w:r>
        <w:t xml:space="preserve">This document is valid for a period of thirty (30) days from the date of issue. For inquiries, contact procurement@alexmedsupply.com.eg or call +20-3-552-8841.</w:t>
      </w:r>
    </w:p>
    <w:p>
      <w:pPr>
        <w:pStyle w:val="BodyText"/>
      </w:pPr>
      <w:r>
        <w:t xml:space="preserve">© 2025 Alexandria Medical Supply &amp; Equipment Co., Ltd. – Egypt Alexandria.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Egypt Alexandria</dc:title>
  <dc:creator/>
  <dc:language>en</dc:language>
  <cp:keywords/>
  <dcterms:created xsi:type="dcterms:W3CDTF">2026-10-10T07:32:28Z</dcterms:created>
  <dcterms:modified xsi:type="dcterms:W3CDTF">2026-10-10T07:32:28Z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