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Medical Equipment &amp; Supplies Procurement for Doctor General Practitioner Practice</w:t>
      </w:r>
    </w:p>
    <w:p>
      <w:pPr>
        <w:pStyle w:val="BodyText"/>
      </w:pPr>
      <w:r>
        <w:t xml:space="preserve">Osaka, Japan | Fiscal Year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PO-OSK-2025-04871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Purchasing Entity:</w:t>
            </w:r>
          </w:p>
        </w:tc>
        <w:tc>
          <w:tcPr/>
          <w:p>
            <w:pPr>
              <w:pStyle w:val="Compact"/>
              <w:jc w:val="left"/>
            </w:pPr>
            <w:r>
              <w:t xml:space="preserve">Dr. Kenji Tanaka, Doctor General Practitioner, Tanaka General Clinic</w:t>
            </w:r>
          </w:p>
        </w:tc>
      </w:tr>
      <w:tr>
        <w:tc>
          <w:tcPr/>
          <w:p>
            <w:pPr>
              <w:pStyle w:val="Compact"/>
              <w:jc w:val="left"/>
            </w:pPr>
            <w:r>
              <w:t xml:space="preserve">Practice Address:</w:t>
            </w:r>
          </w:p>
        </w:tc>
        <w:tc>
          <w:tcPr/>
          <w:p>
            <w:pPr>
              <w:pStyle w:val="Compact"/>
              <w:jc w:val="left"/>
            </w:pPr>
            <w:r>
              <w:t xml:space="preserve">3-2-18 Umeda, Kita-ku, Osaka 530-0001, Japan Osaka</w:t>
            </w:r>
          </w:p>
        </w:tc>
      </w:tr>
      <w:tr>
        <w:tc>
          <w:tcPr/>
          <w:p>
            <w:pPr>
              <w:pStyle w:val="Compact"/>
              <w:jc w:val="left"/>
            </w:pPr>
            <w:r>
              <w:t xml:space="preserve">Supplier:</w:t>
            </w:r>
          </w:p>
        </w:tc>
        <w:tc>
          <w:tcPr/>
          <w:p>
            <w:pPr>
              <w:pStyle w:val="Compact"/>
              <w:jc w:val="left"/>
            </w:pPr>
            <w:r>
              <w:t xml:space="preserve">MediSupply Kanto Co., Ltd.</w:t>
            </w:r>
          </w:p>
        </w:tc>
      </w:tr>
      <w:tr>
        <w:tc>
          <w:tcPr/>
          <w:p>
            <w:pPr>
              <w:pStyle w:val="Compact"/>
              <w:jc w:val="left"/>
            </w:pPr>
            <w:r>
              <w:t xml:space="preserve">Supplier Address:</w:t>
            </w:r>
          </w:p>
        </w:tc>
        <w:tc>
          <w:tcPr/>
          <w:p>
            <w:pPr>
              <w:pStyle w:val="Compact"/>
              <w:jc w:val="left"/>
            </w:pPr>
            <w:r>
              <w:t xml:space="preserve">15-4-2 Nihonbashi, Chuo-ku, Tokyo 103-0027, Japan</w:t>
            </w:r>
          </w:p>
        </w:tc>
      </w:tr>
      <w:tr>
        <w:tc>
          <w:tcPr/>
          <w:p>
            <w:pPr>
              <w:pStyle w:val="Compact"/>
              <w:jc w:val="left"/>
            </w:pPr>
            <w:r>
              <w:t xml:space="preserve">Contact Person:</w:t>
            </w:r>
          </w:p>
        </w:tc>
        <w:tc>
          <w:tcPr/>
          <w:p>
            <w:pPr>
              <w:pStyle w:val="Compact"/>
              <w:jc w:val="left"/>
            </w:pPr>
            <w:r>
              <w:t xml:space="preserve">Dr. Kenji Tanaka (Procurement Lead)</w:t>
            </w:r>
          </w:p>
        </w:tc>
      </w:tr>
      <w:tr>
        <w:tc>
          <w:tcPr/>
          <w:p>
            <w:pPr>
              <w:pStyle w:val="Compact"/>
              <w:jc w:val="left"/>
            </w:pPr>
            <w:r>
              <w:t xml:space="preserve">Payment Terms:</w:t>
            </w:r>
          </w:p>
        </w:tc>
        <w:tc>
          <w:tcPr/>
          <w:p>
            <w:pPr>
              <w:pStyle w:val="Compact"/>
              <w:jc w:val="left"/>
            </w:pPr>
            <w:r>
              <w:t xml:space="preserve">Net 30 days from invoice date, JPY (Japanese Yen)</w:t>
            </w:r>
          </w:p>
        </w:tc>
      </w:tr>
      <w:tr>
        <w:tc>
          <w:tcPr/>
          <w:p>
            <w:pPr>
              <w:pStyle w:val="Compact"/>
              <w:jc w:val="left"/>
            </w:pPr>
            <w:r>
              <w:t xml:space="preserve">Shipping Method:</w:t>
            </w:r>
          </w:p>
        </w:tc>
        <w:tc>
          <w:tcPr/>
          <w:p>
            <w:pPr>
              <w:pStyle w:val="Compact"/>
              <w:jc w:val="left"/>
            </w:pPr>
            <w:r>
              <w:t xml:space="preserve">Freight prepaid, delivered to Japan Osaka clinic premises</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Dr. Kenji Tanaka, a licensed Doctor General Practitioner operating Tanaka General Clinic in the Umeda district of Japan Osaka, for the procurement of essential medical equipment, diagnostic instruments, and consumable supplies. The Doctor General Practitioner requires these items to maintain and expand the clinic's capacity to deliver comprehensive primary healthcare services to the local community in Japan Osaka. This Purchase Order covers all items necessary for the upcoming fiscal quarter and is subject to the terms and conditions outlined herein.</w:t>
      </w:r>
    </w:p>
    <w:bookmarkEnd w:id="21"/>
    <w:bookmarkStart w:id="22" w:name="itemized-purchase-order-details"/>
    <w:p>
      <w:pPr>
        <w:pStyle w:val="Heading2"/>
      </w:pPr>
      <w:r>
        <w:t xml:space="preserve">2.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Digital Blood Pressure Monitor (Omron HBP-272, CE/PMDA certified)</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Portable ECG Machine, 12-Lead (Fukuda Denshi ECG-1200)</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03</w:t>
            </w:r>
          </w:p>
        </w:tc>
        <w:tc>
          <w:tcPr/>
          <w:p>
            <w:pPr>
              <w:pStyle w:val="Compact"/>
              <w:jc w:val="left"/>
            </w:pPr>
            <w:r>
              <w:t xml:space="preserve">Digital Thermometer Set (Infrared Forehead, 50-pack)</w:t>
            </w:r>
          </w:p>
        </w:tc>
        <w:tc>
          <w:tcPr/>
          <w:p>
            <w:pPr>
              <w:pStyle w:val="Compact"/>
              <w:jc w:val="left"/>
            </w:pPr>
            <w:r>
              <w:t xml:space="preserve">5</w:t>
            </w:r>
          </w:p>
        </w:tc>
        <w:tc>
          <w:tcPr/>
          <w:p>
            <w:pPr>
              <w:pStyle w:val="Compact"/>
              <w:jc w:val="left"/>
            </w:pPr>
            <w:r>
              <w:t xml:space="preserve">12,800</w:t>
            </w:r>
          </w:p>
        </w:tc>
        <w:tc>
          <w:tcPr/>
          <w:p>
            <w:pPr>
              <w:pStyle w:val="Compact"/>
              <w:jc w:val="left"/>
            </w:pPr>
            <w:r>
              <w:t xml:space="preserve">64,000</w:t>
            </w:r>
          </w:p>
        </w:tc>
      </w:tr>
      <w:tr>
        <w:tc>
          <w:tcPr/>
          <w:p>
            <w:pPr>
              <w:pStyle w:val="Compact"/>
              <w:jc w:val="left"/>
            </w:pPr>
            <w:r>
              <w:t xml:space="preserve">04</w:t>
            </w:r>
          </w:p>
        </w:tc>
        <w:tc>
          <w:tcPr/>
          <w:p>
            <w:pPr>
              <w:pStyle w:val="Compact"/>
              <w:jc w:val="left"/>
            </w:pPr>
            <w:r>
              <w:t xml:space="preserve">Stethoscope, Dual Head (Littmann Cardiology IV)</w:t>
            </w:r>
          </w:p>
        </w:tc>
        <w:tc>
          <w:tcPr/>
          <w:p>
            <w:pPr>
              <w:pStyle w:val="Compact"/>
              <w:jc w:val="left"/>
            </w:pPr>
            <w:r>
              <w:t xml:space="preserve">8</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05</w:t>
            </w:r>
          </w:p>
        </w:tc>
        <w:tc>
          <w:tcPr/>
          <w:p>
            <w:pPr>
              <w:pStyle w:val="Compact"/>
              <w:jc w:val="left"/>
            </w:pPr>
            <w:r>
              <w:t xml:space="preserve">Otoscope with LED Illumination (Welch Allyn)</w:t>
            </w:r>
          </w:p>
        </w:tc>
        <w:tc>
          <w:tcPr/>
          <w:p>
            <w:pPr>
              <w:pStyle w:val="Compact"/>
              <w:jc w:val="left"/>
            </w:pPr>
            <w:r>
              <w:t xml:space="preserve">6</w:t>
            </w:r>
          </w:p>
        </w:tc>
        <w:tc>
          <w:tcPr/>
          <w:p>
            <w:pPr>
              <w:pStyle w:val="Compact"/>
              <w:jc w:val="left"/>
            </w:pPr>
            <w:r>
              <w:t xml:space="preserve">35,500</w:t>
            </w:r>
          </w:p>
        </w:tc>
        <w:tc>
          <w:tcPr/>
          <w:p>
            <w:pPr>
              <w:pStyle w:val="Compact"/>
              <w:jc w:val="left"/>
            </w:pPr>
            <w:r>
              <w:t xml:space="preserve">213,000</w:t>
            </w:r>
          </w:p>
        </w:tc>
      </w:tr>
      <w:tr>
        <w:tc>
          <w:tcPr/>
          <w:p>
            <w:pPr>
              <w:pStyle w:val="Compact"/>
              <w:jc w:val="left"/>
            </w:pPr>
            <w:r>
              <w:t xml:space="preserve">06</w:t>
            </w:r>
          </w:p>
        </w:tc>
        <w:tc>
          <w:tcPr/>
          <w:p>
            <w:pPr>
              <w:pStyle w:val="Compact"/>
              <w:jc w:val="left"/>
            </w:pPr>
            <w:r>
              <w:t xml:space="preserve">Portable Ultrasound Scanner, Abdominal (GE Vscan Air)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07</w:t>
            </w:r>
          </w:p>
        </w:tc>
        <w:tc>
          <w:tcPr/>
          <w:p>
            <w:pPr>
              <w:pStyle w:val="Compact"/>
              <w:jc w:val="left"/>
            </w:pPr>
            <w:r>
              <w:t xml:space="preserve">Examination Table, Adjustable with Paper Roll Holder</w:t>
            </w:r>
          </w:p>
        </w:tc>
        <w:tc>
          <w:tcPr/>
          <w:p>
            <w:pPr>
              <w:pStyle w:val="Compact"/>
              <w:jc w:val="left"/>
            </w:pPr>
            <w:r>
              <w:t xml:space="preserve">3</w:t>
            </w:r>
          </w:p>
        </w:tc>
        <w:tc>
          <w:tcPr/>
          <w:p>
            <w:pPr>
              <w:pStyle w:val="Compact"/>
              <w:jc w:val="left"/>
            </w:pPr>
            <w:r>
              <w:t xml:space="preserve">98,000</w:t>
            </w:r>
          </w:p>
        </w:tc>
        <w:tc>
          <w:tcPr/>
          <w:p>
            <w:pPr>
              <w:pStyle w:val="Compact"/>
              <w:jc w:val="left"/>
            </w:pPr>
            <w:r>
              <w:t xml:space="preserve">294,000</w:t>
            </w:r>
          </w:p>
        </w:tc>
      </w:tr>
      <w:tr>
        <w:tc>
          <w:tcPr/>
          <w:p>
            <w:pPr>
              <w:pStyle w:val="Compact"/>
              <w:jc w:val="left"/>
            </w:pPr>
            <w:r>
              <w:t xml:space="preserve">08</w:t>
            </w:r>
          </w:p>
        </w:tc>
        <w:tc>
          <w:tcPr/>
          <w:p>
            <w:pPr>
              <w:pStyle w:val="Compact"/>
              <w:jc w:val="left"/>
            </w:pPr>
            <w:r>
              <w:t xml:space="preserve">Nitrile Examination Gloves, Box of 100 (Various Sizes)</w:t>
            </w:r>
          </w:p>
        </w:tc>
        <w:tc>
          <w:tcPr/>
          <w:p>
            <w:pPr>
              <w:pStyle w:val="Compact"/>
              <w:jc w:val="left"/>
            </w:pPr>
            <w:r>
              <w:t xml:space="preserve">200</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Sterile Gauze Pads, 4x4 inch, Box of 100</w:t>
            </w:r>
          </w:p>
        </w:tc>
        <w:tc>
          <w:tcPr/>
          <w:p>
            <w:pPr>
              <w:pStyle w:val="Compact"/>
              <w:jc w:val="left"/>
            </w:pPr>
            <w:r>
              <w:t xml:space="preserve">150</w:t>
            </w:r>
          </w:p>
        </w:tc>
        <w:tc>
          <w:tcPr/>
          <w:p>
            <w:pPr>
              <w:pStyle w:val="Compact"/>
              <w:jc w:val="left"/>
            </w:pPr>
            <w:r>
              <w:t xml:space="preserve">850</w:t>
            </w:r>
          </w:p>
        </w:tc>
        <w:tc>
          <w:tcPr/>
          <w:p>
            <w:pPr>
              <w:pStyle w:val="Compact"/>
              <w:jc w:val="left"/>
            </w:pPr>
            <w:r>
              <w:t xml:space="preserve">127,500</w:t>
            </w:r>
          </w:p>
        </w:tc>
      </w:tr>
      <w:tr>
        <w:tc>
          <w:tcPr/>
          <w:p>
            <w:pPr>
              <w:pStyle w:val="Compact"/>
              <w:jc w:val="left"/>
            </w:pPr>
            <w:r>
              <w:t xml:space="preserve">10</w:t>
            </w:r>
          </w:p>
        </w:tc>
        <w:tc>
          <w:tcPr/>
          <w:p>
            <w:pPr>
              <w:pStyle w:val="Compact"/>
              <w:jc w:val="left"/>
            </w:pPr>
            <w:r>
              <w:t xml:space="preserve">Automated Defibrillator (AED), Wall-Mounted (Philips HeartStart)</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11</w:t>
            </w:r>
          </w:p>
        </w:tc>
        <w:tc>
          <w:tcPr/>
          <w:p>
            <w:pPr>
              <w:pStyle w:val="Compact"/>
              <w:jc w:val="left"/>
            </w:pPr>
            <w:r>
              <w:t xml:space="preserve">Pulse Oximeter, Finger-Type (Nonin 3250)</w:t>
            </w:r>
          </w:p>
        </w:tc>
        <w:tc>
          <w:tcPr/>
          <w:p>
            <w:pPr>
              <w:pStyle w:val="Compact"/>
              <w:jc w:val="left"/>
            </w:pPr>
            <w:r>
              <w:t xml:space="preserve">15</w:t>
            </w:r>
          </w:p>
        </w:tc>
        <w:tc>
          <w:tcPr/>
          <w:p>
            <w:pPr>
              <w:pStyle w:val="Compact"/>
              <w:jc w:val="left"/>
            </w:pPr>
            <w:r>
              <w:t xml:space="preserve">9,800</w:t>
            </w:r>
          </w:p>
        </w:tc>
        <w:tc>
          <w:tcPr/>
          <w:p>
            <w:pPr>
              <w:pStyle w:val="Compact"/>
              <w:jc w:val="left"/>
            </w:pPr>
            <w:r>
              <w:t xml:space="preserve">147,000</w:t>
            </w:r>
          </w:p>
        </w:tc>
      </w:tr>
      <w:tr>
        <w:tc>
          <w:tcPr/>
          <w:p>
            <w:pPr>
              <w:pStyle w:val="Compact"/>
              <w:jc w:val="left"/>
            </w:pPr>
            <w:r>
              <w:t xml:space="preserve">12</w:t>
            </w:r>
          </w:p>
        </w:tc>
        <w:tc>
          <w:tcPr/>
          <w:p>
            <w:pPr>
              <w:pStyle w:val="Compact"/>
              <w:jc w:val="left"/>
            </w:pPr>
            <w:r>
              <w:t xml:space="preserve">Medical Waste Disposal Bins, 60L with Pedal</w:t>
            </w:r>
          </w:p>
        </w:tc>
        <w:tc>
          <w:tcPr/>
          <w:p>
            <w:pPr>
              <w:pStyle w:val="Compact"/>
              <w:jc w:val="left"/>
            </w:pPr>
            <w:r>
              <w:t xml:space="preserve">6</w:t>
            </w:r>
          </w:p>
        </w:tc>
        <w:tc>
          <w:tcPr/>
          <w:p>
            <w:pPr>
              <w:pStyle w:val="Compact"/>
              <w:jc w:val="left"/>
            </w:pPr>
            <w:r>
              <w:t xml:space="preserve">14,500</w:t>
            </w:r>
          </w:p>
        </w:tc>
        <w:tc>
          <w:tcPr/>
          <w:p>
            <w:pPr>
              <w:pStyle w:val="Compact"/>
              <w:jc w:val="left"/>
            </w:pPr>
            <w:r>
              <w:t xml:space="preserve">87,000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JPY 4,123,500</w:t>
            </w:r>
          </w:p>
        </w:tc>
      </w:tr>
      <w:tr>
        <w:tc>
          <w:tcPr/>
          <w:p>
            <w:pPr>
              <w:pStyle w:val="Compact"/>
              <w:jc w:val="left"/>
            </w:pPr>
            <w:r>
              <w:t xml:space="preserve">Consumption Tax (10%):</w:t>
            </w:r>
          </w:p>
        </w:tc>
        <w:tc>
          <w:tcPr/>
          <w:p>
            <w:pPr>
              <w:pStyle w:val="Compact"/>
              <w:jc w:val="left"/>
            </w:pPr>
            <w:r>
              <w:t xml:space="preserve">JPY 412,350</w:t>
            </w:r>
          </w:p>
        </w:tc>
      </w:tr>
      <w:tr>
        <w:tc>
          <w:tcPr/>
          <w:p>
            <w:pPr>
              <w:pStyle w:val="Compact"/>
              <w:jc w:val="left"/>
            </w:pPr>
            <w:r>
              <w:t xml:space="preserve">Shipping &amp; Handling (Japan Osaka delivery):</w:t>
            </w:r>
          </w:p>
        </w:tc>
        <w:tc>
          <w:tcPr/>
          <w:p>
            <w:pPr>
              <w:pStyle w:val="Compact"/>
              <w:jc w:val="left"/>
            </w:pPr>
            <w:r>
              <w:t xml:space="preserve">JPY 45,000</w:t>
            </w:r>
          </w:p>
        </w:tc>
      </w:tr>
      <w:tr>
        <w:tc>
          <w:tcPr/>
          <w:p>
            <w:pPr>
              <w:pStyle w:val="Compact"/>
              <w:jc w:val="left"/>
            </w:pPr>
            <w:r>
              <w:t xml:space="preserve">Grand Total:</w:t>
            </w:r>
          </w:p>
        </w:tc>
        <w:tc>
          <w:tcPr/>
          <w:p>
            <w:pPr>
              <w:pStyle w:val="Compact"/>
              <w:jc w:val="left"/>
            </w:pPr>
            <w:r>
              <w:t xml:space="preserve">JPY 4,580,850</w:t>
            </w:r>
          </w:p>
        </w:tc>
      </w:tr>
    </w:tbl>
    <w:bookmarkEnd w:id="22"/>
    <w:bookmarkStart w:id="23" w:name="terms-and-conditions"/>
    <w:p>
      <w:pPr>
        <w:pStyle w:val="Heading2"/>
      </w:pPr>
      <w:r>
        <w:t xml:space="preserve">3. Terms and Conditions</w:t>
      </w:r>
    </w:p>
    <w:p>
      <w:pPr>
        <w:numPr>
          <w:ilvl w:val="0"/>
          <w:numId w:val="1001"/>
        </w:numPr>
        <w:pStyle w:val="Compact"/>
      </w:pPr>
      <w:r>
        <w:t xml:space="preserve">All items listed in this Purchase Order must comply with the Pharmaceutical and Medical Devices Act (PMDA) regulations applicable in Japan Osaka and throughout Japan.</w:t>
      </w:r>
    </w:p>
    <w:p>
      <w:pPr>
        <w:numPr>
          <w:ilvl w:val="0"/>
          <w:numId w:val="1001"/>
        </w:numPr>
        <w:pStyle w:val="Compact"/>
      </w:pPr>
      <w:r>
        <w:t xml:space="preserve">The Doctor General Practitioner reserves the right to inspect all delivered goods upon arrival at the Tanaka General Clinic premises in Japan Osaka. Any defective or non-conforming items must be replaced within seven (7) business days at the supplier's expense.</w:t>
      </w:r>
    </w:p>
    <w:p>
      <w:pPr>
        <w:numPr>
          <w:ilvl w:val="0"/>
          <w:numId w:val="1001"/>
        </w:numPr>
        <w:pStyle w:val="Compact"/>
      </w:pPr>
      <w:r>
        <w:t xml:space="preserve">Payment shall be made via bank transfer to the supplier's designated account within thirty (30) days of the invoice date, provided all items have been accepted in satisfactory condition by the Doctor General Practitioner.</w:t>
      </w:r>
    </w:p>
    <w:p>
      <w:pPr>
        <w:numPr>
          <w:ilvl w:val="0"/>
          <w:numId w:val="1001"/>
        </w:numPr>
        <w:pStyle w:val="Compact"/>
      </w:pPr>
      <w:r>
        <w:t xml:space="preserve">The supplier is responsible for all packaging, labeling, and safe transport of medical equipment to the delivery address in Japan Osaka. All items must be properly insured during transit.</w:t>
      </w:r>
    </w:p>
    <w:p>
      <w:pPr>
        <w:numPr>
          <w:ilvl w:val="0"/>
          <w:numId w:val="1001"/>
        </w:numPr>
        <w:pStyle w:val="Compact"/>
      </w:pPr>
      <w:r>
        <w:t xml:space="preserve">This Purchase Order is governed by the laws of Japan. Any disputes arising from this Purchase Order shall be resolved through arbitration in Osaka, Japan Osaka, in accordance with the rules of the Osaka Arbitration Center.</w:t>
      </w:r>
    </w:p>
    <w:p>
      <w:pPr>
        <w:numPr>
          <w:ilvl w:val="0"/>
          <w:numId w:val="1001"/>
        </w:numPr>
        <w:pStyle w:val="Compact"/>
      </w:pPr>
      <w:r>
        <w:t xml:space="preserve">The Doctor General Practitioner may amend or cancel this Purchase Order in writing prior to the supplier's confirmation of order acceptance. Any cancellation after confirmation shall be subject to a 15% penalty fee on the total Purchase Order value.</w:t>
      </w:r>
    </w:p>
    <w:p>
      <w:pPr>
        <w:numPr>
          <w:ilvl w:val="0"/>
          <w:numId w:val="1001"/>
        </w:numPr>
        <w:pStyle w:val="Compact"/>
      </w:pPr>
      <w:r>
        <w:t xml:space="preserve">All warranties provided by manufacturers are to be honored and transferred to the Doctor General Practitioner as the end-user of the equipment in Japan Osaka.</w:t>
      </w:r>
    </w:p>
    <w:p>
      <w:pPr>
        <w:numPr>
          <w:ilvl w:val="0"/>
          <w:numId w:val="1001"/>
        </w:numPr>
        <w:pStyle w:val="Compact"/>
      </w:pPr>
      <w:r>
        <w:t xml:space="preserve">Confidentiality: Both parties agree to maintain strict confidentiality regarding the terms of this Purchase Order and any patient-related information that may be incidentally disclosed during the procurement process.</w:t>
      </w:r>
    </w:p>
    <w:bookmarkEnd w:id="23"/>
    <w:bookmarkStart w:id="24" w:name="authorization-and-signatures"/>
    <w:p>
      <w:pPr>
        <w:pStyle w:val="Heading2"/>
      </w:pPr>
      <w:r>
        <w:t xml:space="preserve">4. Authorization and Signatures</w:t>
      </w:r>
    </w:p>
    <w:p>
      <w:pPr>
        <w:pStyle w:val="FirstParagraph"/>
      </w:pPr>
      <w:r>
        <w:rPr>
          <w:bCs/>
          <w:b/>
        </w:rPr>
        <w:t xml:space="preserve">Prepared by:</w:t>
      </w:r>
    </w:p>
    <w:p>
      <w:pPr>
        <w:pStyle w:val="BodyText"/>
      </w:pPr>
      <w:r>
        <w:t xml:space="preserve">Dr. Kenji Tanaka</w:t>
      </w:r>
    </w:p>
    <w:p>
      <w:pPr>
        <w:pStyle w:val="BodyText"/>
      </w:pPr>
      <w:r>
        <w:t xml:space="preserve">Doctor General Practitioner</w:t>
      </w:r>
    </w:p>
    <w:p>
      <w:pPr>
        <w:pStyle w:val="BodyText"/>
      </w:pPr>
      <w:r>
        <w:t xml:space="preserve">Tanaka General Clinic, Japan Osaka</w:t>
      </w:r>
    </w:p>
    <w:p>
      <w:pPr>
        <w:pStyle w:val="BodyText"/>
      </w:pPr>
      <w:r>
        <w:t xml:space="preserve">Date: _______________</w:t>
      </w:r>
    </w:p>
    <w:p>
      <w:pPr>
        <w:pStyle w:val="BodyText"/>
      </w:pPr>
      <w:r>
        <w:rPr>
          <w:bCs/>
          <w:b/>
        </w:rPr>
        <w:t xml:space="preserve">Accepted by (Supplier):</w:t>
      </w:r>
    </w:p>
    <w:p>
      <w:pPr>
        <w:pStyle w:val="BodyText"/>
      </w:pPr>
      <w:r>
        <w:t xml:space="preserve">MediSupply Kanto Co., Ltd.</w:t>
      </w:r>
    </w:p>
    <w:p>
      <w:pPr>
        <w:pStyle w:val="BodyText"/>
      </w:pPr>
      <w:r>
        <w:t xml:space="preserve">Authorized Representative</w:t>
      </w:r>
    </w:p>
    <w:p>
      <w:pPr>
        <w:pStyle w:val="BodyText"/>
      </w:pPr>
      <w:r>
        <w:t xml:space="preserve">Date: _______________</w:t>
      </w:r>
    </w:p>
    <w:p>
      <w:pPr>
        <w:pStyle w:val="BodyText"/>
      </w:pPr>
      <w:r>
        <w:rPr>
          <w:bCs/>
          <w:b/>
        </w:rPr>
        <w:t xml:space="preserve">Note:</w:t>
      </w:r>
      <w:r>
        <w:t xml:space="preserve"> </w:t>
      </w:r>
      <w:r>
        <w:t xml:space="preserve">This Purchase Order document is valid for a period of sixty (60) days from the date of issue. After this period, the Doctor General Practitioner must reissue the Purchase Order if the items have not been fulfilled. All communications regarding this Purchase Order should be directed to the procurement office of Tanaka General Clinic, located in Japan Osaka. This document constitutes a legally binding agreement between the Doctor General Practitioner (purchaser) and MediSupply Kanto Co., Ltd. (supplier) upon execution by both parties. Reference No.: PO-OSK-2025-04871 | Japan Osaka Medical Procurement Registry.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Japan Osaka</dc:title>
  <dc:creator/>
  <dc:language>en</dc:language>
  <cp:keywords/>
  <dcterms:created xsi:type="dcterms:W3CDTF">2026-10-10T06:55:59Z</dcterms:created>
  <dcterms:modified xsi:type="dcterms:W3CDTF">2026-10-10T06:55:59Z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