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MediCare General Practice Sdn. Bhd.</w:t>
      </w:r>
    </w:p>
    <w:p>
      <w:pPr>
        <w:pStyle w:val="BodyText"/>
      </w:pPr>
      <w:r>
        <w:t xml:space="preserve">Lot 12, Ground Floor, Menara Sentral, Jalan Tun Razak, 50400</w:t>
      </w:r>
      <w:r>
        <w:t xml:space="preserve"> </w:t>
      </w:r>
      <w:r>
        <w:t xml:space="preserve">Malaysia Kuala Lumpur</w:t>
      </w:r>
    </w:p>
    <w:p>
      <w:pPr>
        <w:pStyle w:val="BodyText"/>
      </w:pPr>
      <w:r>
        <w:t xml:space="preserve">Registration No: 201901456789 (K) | Tax ID: 001234567890</w:t>
      </w:r>
    </w:p>
    <w:p>
      <w:pPr>
        <w:pStyle w:val="BodyText"/>
      </w:pPr>
      <w:r>
        <w:t xml:space="preserve">Phone: +603-2145 6789 | Email: procurement@medicaregp.com.my</w:t>
      </w:r>
    </w:p>
    <w:bookmarkEnd w:id="20"/>
    <w:p>
      <w:pPr>
        <w:pStyle w:val="BodyText"/>
      </w:pPr>
      <w:r>
        <w:rPr>
          <w:bCs/>
          <w:b/>
        </w:rPr>
        <w:t xml:space="preserve">Purchase Order No:</w:t>
      </w:r>
      <w:r>
        <w:t xml:space="preserve"> </w:t>
      </w:r>
      <w:r>
        <w:t xml:space="preserve">PO-2025-KL-00847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Malaysian Ringgit (MYR)</w:t>
      </w:r>
    </w:p>
    <w:p>
      <w:pPr>
        <w:pStyle w:val="BodyText"/>
      </w:pPr>
      <w:r>
        <w:rPr>
          <w:bCs/>
          <w:b/>
        </w:rPr>
        <w:t xml:space="preserve">Delivery Address:</w:t>
      </w:r>
      <w:r>
        <w:t xml:space="preserve"> </w:t>
      </w:r>
      <w:r>
        <w:t xml:space="preserve">Malaysia Kuala Lumpur</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MediSupply Asia (M) Sdn. Bhd.</w:t>
            </w:r>
          </w:p>
        </w:tc>
      </w:tr>
      <w:tr>
        <w:tc>
          <w:tcPr/>
          <w:p>
            <w:pPr>
              <w:pStyle w:val="Compact"/>
              <w:jc w:val="left"/>
            </w:pPr>
            <w:r>
              <w:rPr>
                <w:bCs/>
                <w:b/>
              </w:rPr>
              <w:t xml:space="preserve">Address:</w:t>
            </w:r>
          </w:p>
        </w:tc>
        <w:tc>
          <w:tcPr/>
          <w:p>
            <w:pPr>
              <w:pStyle w:val="Compact"/>
              <w:jc w:val="left"/>
            </w:pPr>
            <w:r>
              <w:t xml:space="preserve">Unit 8-2, Level 8, Bangsar Trade Centre, 229 Jalan Maarof, 57000</w:t>
            </w:r>
            <w:r>
              <w:t xml:space="preserve"> </w:t>
            </w:r>
            <w:r>
              <w:t xml:space="preserve">Malaysia Kuala Lumpur</w:t>
            </w:r>
          </w:p>
        </w:tc>
      </w:tr>
      <w:tr>
        <w:tc>
          <w:tcPr/>
          <w:p>
            <w:pPr>
              <w:pStyle w:val="Compact"/>
              <w:jc w:val="left"/>
            </w:pPr>
            <w:r>
              <w:rPr>
                <w:bCs/>
                <w:b/>
              </w:rPr>
              <w:t xml:space="preserve">Contact Person:</w:t>
            </w:r>
          </w:p>
        </w:tc>
        <w:tc>
          <w:tcPr/>
          <w:p>
            <w:pPr>
              <w:pStyle w:val="Compact"/>
              <w:jc w:val="left"/>
            </w:pPr>
            <w:r>
              <w:t xml:space="preserve">Mr. Tan Wei Ming – Procurement Manager</w:t>
            </w:r>
          </w:p>
        </w:tc>
      </w:tr>
      <w:tr>
        <w:tc>
          <w:tcPr/>
          <w:p>
            <w:pPr>
              <w:pStyle w:val="Compact"/>
              <w:jc w:val="left"/>
            </w:pPr>
            <w:r>
              <w:rPr>
                <w:bCs/>
                <w:b/>
              </w:rPr>
              <w:t xml:space="preserve">Phone / Email:</w:t>
            </w:r>
          </w:p>
        </w:tc>
        <w:tc>
          <w:tcPr/>
          <w:p>
            <w:pPr>
              <w:pStyle w:val="Compact"/>
              <w:jc w:val="left"/>
            </w:pPr>
            <w:r>
              <w:t xml:space="preserve">+603-2288 4455 / sales@medisupplyasia.com.my</w:t>
            </w:r>
          </w:p>
        </w:tc>
      </w:tr>
      <w:tr>
        <w:tc>
          <w:tcPr/>
          <w:p>
            <w:pPr>
              <w:pStyle w:val="Compact"/>
              <w:jc w:val="left"/>
            </w:pPr>
            <w:r>
              <w:rPr>
                <w:bCs/>
                <w:b/>
              </w:rPr>
              <w:t xml:space="preserve">Supplier Registration:</w:t>
            </w:r>
          </w:p>
        </w:tc>
        <w:tc>
          <w:tcPr/>
          <w:p>
            <w:pPr>
              <w:pStyle w:val="Compact"/>
              <w:jc w:val="left"/>
            </w:pPr>
            <w:r>
              <w:t xml:space="preserve">201500987654 (K) | SSN: 009876543210</w:t>
            </w:r>
          </w:p>
        </w:tc>
      </w:tr>
    </w:tbl>
    <w:p>
      <w:pPr>
        <w:pStyle w:val="BodyText"/>
      </w:pPr>
      <w:r>
        <w:t xml:space="preserve">Order Details – Doctor General Practitioner Practice Equipment &amp; Supplies</w:t>
      </w:r>
    </w:p>
    <w:p>
      <w:pPr>
        <w:pStyle w:val="BodyText"/>
      </w:pPr>
      <w:r>
        <w:t xml:space="preserve">This</w:t>
      </w:r>
      <w:r>
        <w:t xml:space="preserve"> </w:t>
      </w:r>
      <w:r>
        <w:t xml:space="preserve">Purchase Order</w:t>
      </w:r>
      <w:r>
        <w:t xml:space="preserve"> </w:t>
      </w:r>
      <w:r>
        <w:t xml:space="preserve">is issued by MediCare General Practice Sdn. Bhd., a registered</w:t>
      </w:r>
      <w:r>
        <w:t xml:space="preserve"> </w:t>
      </w:r>
      <w:r>
        <w:t xml:space="preserve">Doctor General Practitioner</w:t>
      </w:r>
      <w:r>
        <w:t xml:space="preserve"> </w:t>
      </w:r>
      <w:r>
        <w:t xml:space="preserve">clinic operating in</w:t>
      </w:r>
      <w:r>
        <w:t xml:space="preserve"> </w:t>
      </w:r>
      <w:r>
        <w:t xml:space="preserve">Malaysia Kuala Lumpur</w:t>
      </w:r>
      <w:r>
        <w:t xml:space="preserve">, for the procurement of essential medical equipment, diagnostic instruments, and consumable supplies required for the continued operation of our general practice services. All items listed below must comply with the Malaysian Medical Device Act 2016 and be registered with the National Pharmaceutical Regulatory Agency (NPRA) under the Ministry of Health Malaysia.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01</w:t>
            </w:r>
          </w:p>
        </w:tc>
        <w:tc>
          <w:tcPr/>
          <w:p>
            <w:pPr>
              <w:pStyle w:val="Compact"/>
              <w:jc w:val="left"/>
            </w:pPr>
            <w:r>
              <w:t xml:space="preserve">Digital Blood Pressure Monitor (Omron HBP-1120) – for Doctor General Practitioner consultation room</w:t>
            </w:r>
          </w:p>
        </w:tc>
        <w:tc>
          <w:tcPr/>
          <w:p>
            <w:pPr>
              <w:pStyle w:val="Compact"/>
              <w:jc w:val="left"/>
            </w:pPr>
            <w:r>
              <w:t xml:space="preserve">4</w:t>
            </w:r>
          </w:p>
        </w:tc>
        <w:tc>
          <w:tcPr/>
          <w:p>
            <w:pPr>
              <w:pStyle w:val="Compact"/>
              <w:jc w:val="left"/>
            </w:pPr>
            <w:r>
              <w:t xml:space="preserve">Set</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02</w:t>
            </w:r>
          </w:p>
        </w:tc>
        <w:tc>
          <w:tcPr/>
          <w:p>
            <w:pPr>
              <w:pStyle w:val="Compact"/>
              <w:jc w:val="left"/>
            </w:pPr>
            <w:r>
              <w:t xml:space="preserve">Electronic Stethoscope (Littmann Cardiology IV) – for Doctor General Practitioner auscultation</w:t>
            </w:r>
          </w:p>
        </w:tc>
        <w:tc>
          <w:tcPr/>
          <w:p>
            <w:pPr>
              <w:pStyle w:val="Compact"/>
              <w:jc w:val="left"/>
            </w:pPr>
            <w:r>
              <w:t xml:space="preserve">3</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03</w:t>
            </w:r>
          </w:p>
        </w:tc>
        <w:tc>
          <w:tcPr/>
          <w:p>
            <w:pPr>
              <w:pStyle w:val="Compact"/>
              <w:jc w:val="left"/>
            </w:pPr>
            <w:r>
              <w:t xml:space="preserve">Portable Pulse Oximeter (Nonin 3250) – for Doctor General Practitioner patient monitoring</w:t>
            </w:r>
          </w:p>
        </w:tc>
        <w:tc>
          <w:tcPr/>
          <w:p>
            <w:pPr>
              <w:pStyle w:val="Compact"/>
              <w:jc w:val="left"/>
            </w:pPr>
            <w:r>
              <w:t xml:space="preserve">6</w:t>
            </w:r>
          </w:p>
        </w:tc>
        <w:tc>
          <w:tcPr/>
          <w:p>
            <w:pPr>
              <w:pStyle w:val="Compact"/>
              <w:jc w:val="left"/>
            </w:pPr>
            <w:r>
              <w:t xml:space="preserve">Unit</w:t>
            </w:r>
          </w:p>
        </w:tc>
        <w:tc>
          <w:tcPr/>
          <w:p>
            <w:pPr>
              <w:pStyle w:val="Compact"/>
              <w:jc w:val="left"/>
            </w:pPr>
            <w:r>
              <w:t xml:space="preserve">295.00</w:t>
            </w:r>
          </w:p>
        </w:tc>
        <w:tc>
          <w:tcPr/>
          <w:p>
            <w:pPr>
              <w:pStyle w:val="Compact"/>
              <w:jc w:val="left"/>
            </w:pPr>
            <w:r>
              <w:t xml:space="preserve">1,770.00</w:t>
            </w:r>
          </w:p>
        </w:tc>
      </w:tr>
      <w:tr>
        <w:tc>
          <w:tcPr/>
          <w:p>
            <w:pPr>
              <w:pStyle w:val="Compact"/>
              <w:jc w:val="left"/>
            </w:pPr>
            <w:r>
              <w:t xml:space="preserve">04</w:t>
            </w:r>
          </w:p>
        </w:tc>
        <w:tc>
          <w:tcPr/>
          <w:p>
            <w:pPr>
              <w:pStyle w:val="Compact"/>
              <w:jc w:val="left"/>
            </w:pPr>
            <w:r>
              <w:t xml:space="preserve">Digital Thermometer (Infrared Forehead, Medical Grade) – for Doctor General Practitioner triage</w:t>
            </w:r>
          </w:p>
        </w:tc>
        <w:tc>
          <w:tcPr/>
          <w:p>
            <w:pPr>
              <w:pStyle w:val="Compact"/>
              <w:jc w:val="left"/>
            </w:pPr>
            <w:r>
              <w:t xml:space="preserve">8</w:t>
            </w:r>
          </w:p>
        </w:tc>
        <w:tc>
          <w:tcPr/>
          <w:p>
            <w:pPr>
              <w:pStyle w:val="Compact"/>
              <w:jc w:val="left"/>
            </w:pPr>
            <w:r>
              <w:t xml:space="preserve">Unit</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05</w:t>
            </w:r>
          </w:p>
        </w:tc>
        <w:tc>
          <w:tcPr/>
          <w:p>
            <w:pPr>
              <w:pStyle w:val="Compact"/>
              <w:jc w:val="left"/>
            </w:pPr>
            <w:r>
              <w:t xml:space="preserve">Examination Table with Adjustable Backrest (Heavy Duty) – for Doctor General Practitioner consultation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2,850.00</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Disposable Nitrile Examination Gloves (Box of 100, Size M) – for Doctor General Practitioner clinical use</w:t>
            </w:r>
          </w:p>
        </w:tc>
        <w:tc>
          <w:tcPr/>
          <w:p>
            <w:pPr>
              <w:pStyle w:val="Compact"/>
              <w:jc w:val="left"/>
            </w:pPr>
            <w:r>
              <w:t xml:space="preserve">50</w:t>
            </w:r>
          </w:p>
        </w:tc>
        <w:tc>
          <w:tcPr/>
          <w:p>
            <w:pPr>
              <w:pStyle w:val="Compact"/>
              <w:jc w:val="left"/>
            </w:pPr>
            <w:r>
              <w:t xml:space="preserve">Box</w:t>
            </w:r>
          </w:p>
        </w:tc>
        <w:tc>
          <w:tcPr/>
          <w:p>
            <w:pPr>
              <w:pStyle w:val="Compact"/>
              <w:jc w:val="left"/>
            </w:pPr>
            <w:r>
              <w:t xml:space="preserve">42.00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Sterile Gauze Pads (10x10cm, Box of 200) – for Doctor General Practitioner wound care</w:t>
            </w:r>
          </w:p>
        </w:tc>
        <w:tc>
          <w:tcPr/>
          <w:p>
            <w:pPr>
              <w:pStyle w:val="Compact"/>
              <w:jc w:val="left"/>
            </w:pPr>
            <w:r>
              <w:t xml:space="preserve">30</w:t>
            </w:r>
          </w:p>
        </w:tc>
        <w:tc>
          <w:tcPr/>
          <w:p>
            <w:pPr>
              <w:pStyle w:val="Compact"/>
              <w:jc w:val="left"/>
            </w:pPr>
            <w:r>
              <w:t xml:space="preserve">Box</w:t>
            </w:r>
          </w:p>
        </w:tc>
        <w:tc>
          <w:tcPr/>
          <w:p>
            <w:pPr>
              <w:pStyle w:val="Compact"/>
              <w:jc w:val="left"/>
            </w:pPr>
            <w:r>
              <w:t xml:space="preserve">68.00</w:t>
            </w:r>
          </w:p>
        </w:tc>
        <w:tc>
          <w:tcPr/>
          <w:p>
            <w:pPr>
              <w:pStyle w:val="Compact"/>
              <w:jc w:val="left"/>
            </w:pPr>
            <w:r>
              <w:t xml:space="preserve">2,040.00</w:t>
            </w:r>
          </w:p>
        </w:tc>
      </w:tr>
      <w:tr>
        <w:tc>
          <w:tcPr/>
          <w:p>
            <w:pPr>
              <w:pStyle w:val="Compact"/>
              <w:jc w:val="left"/>
            </w:pPr>
            <w:r>
              <w:t xml:space="preserve">08</w:t>
            </w:r>
          </w:p>
        </w:tc>
        <w:tc>
          <w:tcPr/>
          <w:p>
            <w:pPr>
              <w:pStyle w:val="Compact"/>
              <w:jc w:val="left"/>
            </w:pPr>
            <w:r>
              <w:t xml:space="preserve">Single-Use Syringes (5ml, Luer Lock, Box of 100) – for Doctor General Practitioner injections</w:t>
            </w:r>
          </w:p>
        </w:tc>
        <w:tc>
          <w:tcPr/>
          <w:p>
            <w:pPr>
              <w:pStyle w:val="Compact"/>
              <w:jc w:val="left"/>
            </w:pPr>
            <w:r>
              <w:t xml:space="preserve">40</w:t>
            </w:r>
          </w:p>
        </w:tc>
        <w:tc>
          <w:tcPr/>
          <w:p>
            <w:pPr>
              <w:pStyle w:val="Compact"/>
              <w:jc w:val="left"/>
            </w:pPr>
            <w:r>
              <w:t xml:space="preserve">Box</w:t>
            </w:r>
          </w:p>
        </w:tc>
        <w:tc>
          <w:tcPr/>
          <w:p>
            <w:pPr>
              <w:pStyle w:val="Compact"/>
              <w:jc w:val="left"/>
            </w:pPr>
            <w:r>
              <w:t xml:space="preserve">55.00</w:t>
            </w:r>
          </w:p>
        </w:tc>
        <w:tc>
          <w:tcPr/>
          <w:p>
            <w:pPr>
              <w:pStyle w:val="Compact"/>
              <w:jc w:val="left"/>
            </w:pPr>
            <w:r>
              <w:t xml:space="preserve">2,200.00</w:t>
            </w:r>
          </w:p>
        </w:tc>
      </w:tr>
      <w:tr>
        <w:tc>
          <w:tcPr/>
          <w:p>
            <w:pPr>
              <w:pStyle w:val="Compact"/>
              <w:jc w:val="left"/>
            </w:pPr>
            <w:r>
              <w:t xml:space="preserve">09</w:t>
            </w:r>
          </w:p>
        </w:tc>
        <w:tc>
          <w:tcPr/>
          <w:p>
            <w:pPr>
              <w:pStyle w:val="Compact"/>
              <w:jc w:val="left"/>
            </w:pPr>
            <w:r>
              <w:t xml:space="preserve">Portable ECG Machine (12-Lead, 7-inch Display) – for Doctor General Practitioner cardiac assessment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10</w:t>
            </w:r>
          </w:p>
        </w:tc>
        <w:tc>
          <w:tcPr/>
          <w:p>
            <w:pPr>
              <w:pStyle w:val="Compact"/>
              <w:jc w:val="left"/>
            </w:pPr>
            <w:r>
              <w:t xml:space="preserve">Medical Waste Disposal Bins (Yellow, 60L, with Pedal) – for Doctor General Practitioner clinic compliance</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125.00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30,980.00</w:t>
            </w:r>
          </w:p>
        </w:tc>
      </w:tr>
      <w:tr>
        <w:tc>
          <w:tcPr/>
          <w:p>
            <w:pPr>
              <w:pStyle w:val="Compact"/>
              <w:jc w:val="left"/>
            </w:pPr>
            <w:r>
              <w:t xml:space="preserve">SST (6%)</w:t>
            </w:r>
          </w:p>
        </w:tc>
        <w:tc>
          <w:tcPr/>
          <w:p>
            <w:pPr>
              <w:pStyle w:val="Compact"/>
              <w:jc w:val="right"/>
            </w:pPr>
            <w:r>
              <w:t xml:space="preserve">RM 1,858.80</w:t>
            </w:r>
          </w:p>
        </w:tc>
      </w:tr>
      <w:tr>
        <w:tc>
          <w:tcPr/>
          <w:p>
            <w:pPr>
              <w:pStyle w:val="Compact"/>
              <w:jc w:val="left"/>
            </w:pPr>
            <w:r>
              <w:t xml:space="preserve">Delivery &amp; Installation (within</w:t>
            </w:r>
            <w:r>
              <w:t xml:space="preserve"> </w:t>
            </w:r>
            <w:r>
              <w:t xml:space="preserve">Malaysia Kuala Lumpur</w:t>
            </w:r>
            <w:r>
              <w:t xml:space="preserve"> </w:t>
            </w:r>
            <w:r>
              <w:t xml:space="preserve">city limits)</w:t>
            </w:r>
          </w:p>
        </w:tc>
        <w:tc>
          <w:tcPr/>
          <w:p>
            <w:pPr>
              <w:pStyle w:val="Compact"/>
              <w:jc w:val="right"/>
            </w:pPr>
            <w:r>
              <w:t xml:space="preserve">RM 450.00</w:t>
            </w:r>
          </w:p>
        </w:tc>
      </w:tr>
      <w:tr>
        <w:tc>
          <w:tcPr/>
          <w:p>
            <w:pPr>
              <w:pStyle w:val="Compact"/>
              <w:jc w:val="left"/>
            </w:pPr>
            <w:r>
              <w:t xml:space="preserve">Grand Total</w:t>
            </w:r>
          </w:p>
        </w:tc>
        <w:tc>
          <w:tcPr/>
          <w:p>
            <w:pPr>
              <w:pStyle w:val="Compact"/>
              <w:jc w:val="right"/>
            </w:pPr>
            <w:r>
              <w:t xml:space="preserve">RM 33,288.80</w:t>
            </w:r>
          </w:p>
        </w:tc>
      </w:tr>
    </w:tbl>
    <w:bookmarkStart w:id="21"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(PO-2025-KL-00847) constitutes a binding agreement between MediCare General Practice Sdn. Bhd. (the "Buyer") and MediSupply Asia (M) Sdn. Bhd. (the "Supplier") for the supply of medical equipment and consumables to a registered</w:t>
      </w:r>
      <w:r>
        <w:t xml:space="preserve"> </w:t>
      </w:r>
      <w:r>
        <w:t xml:space="preserve">Doctor General Practitioner</w:t>
      </w:r>
      <w:r>
        <w:t xml:space="preserve"> </w:t>
      </w:r>
      <w:r>
        <w:t xml:space="preserve">clinic located in</w:t>
      </w:r>
      <w:r>
        <w:t xml:space="preserve"> </w:t>
      </w:r>
      <w:r>
        <w:t xml:space="preserve">Malaysia Kuala Lumpur</w:t>
      </w:r>
      <w:r>
        <w:t xml:space="preserve">.</w:t>
      </w:r>
    </w:p>
    <w:p>
      <w:pPr>
        <w:numPr>
          <w:ilvl w:val="0"/>
          <w:numId w:val="1001"/>
        </w:numPr>
        <w:pStyle w:val="Compact"/>
      </w:pPr>
      <w:r>
        <w:t xml:space="preserve">All items supplied under this</w:t>
      </w:r>
      <w:r>
        <w:t xml:space="preserve"> </w:t>
      </w:r>
      <w:r>
        <w:t xml:space="preserve">Purchase Order</w:t>
      </w:r>
      <w:r>
        <w:t xml:space="preserve"> </w:t>
      </w:r>
      <w:r>
        <w:t xml:space="preserve">must be new, unused, and in full compliance with the Malaysian Medical Device Act 2016, the Poisons Act 1952, and all applicable regulations set forth by the Ministry of Health Malaysia and the NPRA.</w:t>
      </w:r>
    </w:p>
    <w:p>
      <w:pPr>
        <w:numPr>
          <w:ilvl w:val="0"/>
          <w:numId w:val="1001"/>
        </w:numPr>
        <w:pStyle w:val="Compact"/>
      </w:pPr>
      <w:r>
        <w:t xml:space="preserve">Delivery of all goods shall be made to the Buyer's premises at Lot 12, Ground Floor, Menara Sentral, Jalan Tun Razak, 50400</w:t>
      </w:r>
      <w:r>
        <w:t xml:space="preserve"> </w:t>
      </w:r>
      <w:r>
        <w:t xml:space="preserve">Malaysia Kuala Lumpur</w:t>
      </w:r>
      <w:r>
        <w:t xml:space="preserve">, no later than 30 June 2025. The Supplier shall bear all risks of loss or damage until the goods are received and signed for by the Buyer's authorised representative.</w:t>
      </w:r>
    </w:p>
    <w:p>
      <w:pPr>
        <w:numPr>
          <w:ilvl w:val="0"/>
          <w:numId w:val="1001"/>
        </w:numPr>
        <w:pStyle w:val="Compact"/>
      </w:pPr>
      <w:r>
        <w:t xml:space="preserve">Payment shall be made within thirty (30) calendar days from the date of receipt of a valid tax invoice from the Supplier, via bank transfer to the Supplier's designated account. Late payments shall attract interest at the rate of 5% per annum as stipulated under the Late Payment of Outstanding Debts Act 2018 in Malaysia.</w:t>
      </w:r>
    </w:p>
    <w:p>
      <w:pPr>
        <w:numPr>
          <w:ilvl w:val="0"/>
          <w:numId w:val="1001"/>
        </w:numPr>
        <w:pStyle w:val="Compact"/>
      </w:pPr>
      <w:r>
        <w:t xml:space="preserve">The Supplier warrants that all equipment supplied under this</w:t>
      </w:r>
      <w:r>
        <w:t xml:space="preserve"> </w:t>
      </w:r>
      <w:r>
        <w:t xml:space="preserve">Purchase Order</w:t>
      </w:r>
      <w:r>
        <w:t xml:space="preserve"> </w:t>
      </w:r>
      <w:r>
        <w:t xml:space="preserve">shall carry a minimum manufacturer's warranty of twelve (12) months from the date of delivery. Any defective items shall be replaced or repaired at the Supplier's sole cost within fourteen (14) days of notification by the Buyer.</w:t>
      </w:r>
    </w:p>
    <w:p>
      <w:pPr>
        <w:numPr>
          <w:ilvl w:val="0"/>
          <w:numId w:val="1001"/>
        </w:numPr>
        <w:pStyle w:val="Compact"/>
      </w:pPr>
      <w:r>
        <w:t xml:space="preserve">The</w:t>
      </w:r>
      <w:r>
        <w:t xml:space="preserve"> </w:t>
      </w:r>
      <w:r>
        <w:t xml:space="preserve">Doctor General Practitioner</w:t>
      </w:r>
      <w:r>
        <w:t xml:space="preserve"> </w:t>
      </w:r>
      <w:r>
        <w:t xml:space="preserve">operating this clinic is registered with the Malaysian Medical Council (MMC) and holds a valid licence to practise general medicine in the state of</w:t>
      </w:r>
      <w:r>
        <w:t xml:space="preserve"> </w:t>
      </w:r>
      <w:r>
        <w:t xml:space="preserve">Malaysia Kuala Lumpur</w:t>
      </w:r>
      <w:r>
        <w:t xml:space="preserve">. All procurement activities under this</w:t>
      </w:r>
      <w:r>
        <w:t xml:space="preserve"> </w:t>
      </w:r>
      <w:r>
        <w:t xml:space="preserve">Purchase Order</w:t>
      </w:r>
      <w:r>
        <w:t xml:space="preserve"> </w:t>
      </w:r>
      <w:r>
        <w:t xml:space="preserve">are conducted in accordance with the clinic's internal procurement policy and the Malaysian Anti-Corruption Commission (MACC) guidelines.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Malaysia Kuala Lumpur</w:t>
      </w:r>
      <w:r>
        <w:t xml:space="preserve"> </w:t>
      </w:r>
      <w:r>
        <w:t xml:space="preserve">in accordance with the Mediation Act 2012, and failing resolution, shall be subject to the exclusive jurisdiction of the courts of</w:t>
      </w:r>
      <w:r>
        <w:t xml:space="preserve"> </w:t>
      </w:r>
      <w:r>
        <w:t xml:space="preserve">Malaysia Kuala Lumpur</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Malaysia. The Buyer reserves the right to amend or cancel this</w:t>
      </w:r>
      <w:r>
        <w:t xml:space="preserve"> </w:t>
      </w:r>
      <w:r>
        <w:t xml:space="preserve">Purchase Order</w:t>
      </w:r>
      <w:r>
        <w:t xml:space="preserve"> </w:t>
      </w:r>
      <w:r>
        <w:t xml:space="preserve">in writing prior to the Supplier's dispatch of goods, subject to a 5% cancellation fee on the total order value.</w:t>
      </w:r>
    </w:p>
    <w:p>
      <w:pPr>
        <w:numPr>
          <w:ilvl w:val="0"/>
          <w:numId w:val="1001"/>
        </w:numPr>
        <w:pStyle w:val="Compact"/>
      </w:pPr>
      <w:r>
        <w:t xml:space="preserve">All personal data processed in connection with this</w:t>
      </w:r>
      <w:r>
        <w:t xml:space="preserve"> </w:t>
      </w:r>
      <w:r>
        <w:t xml:space="preserve">Purchase Order</w:t>
      </w:r>
      <w:r>
        <w:t xml:space="preserve"> </w:t>
      </w:r>
      <w:r>
        <w:t xml:space="preserve">shall be handled in compliance with the Personal Data Protection Act 2010 (PDPA) of Malaysia.</w:t>
      </w:r>
    </w:p>
    <w:bookmarkEnd w:id="21"/>
    <w:p>
      <w:pPr>
        <w:pStyle w:val="FirstParagraph"/>
      </w:pPr>
      <w:r>
        <w:rPr>
          <w:bCs/>
          <w:b/>
        </w:rPr>
        <w:t xml:space="preserve">Authorised Signatory – Buyer</w:t>
      </w:r>
      <w:r>
        <w:br/>
      </w:r>
      <w:r>
        <w:t xml:space="preserve">Dr. Ahmad Faizal bin Rahman</w:t>
      </w:r>
      <w:r>
        <w:br/>
      </w:r>
      <w:r>
        <w:t xml:space="preserve">Doctor General Practitioner / Clinic Director</w:t>
      </w:r>
      <w:r>
        <w:br/>
      </w:r>
      <w:r>
        <w:t xml:space="preserve">MediCare General Practice Sdn. Bhd.</w:t>
      </w:r>
      <w:r>
        <w:br/>
      </w:r>
      <w:r>
        <w:t xml:space="preserve">Date: _______________</w:t>
      </w:r>
    </w:p>
    <w:p>
      <w:pPr>
        <w:pStyle w:val="BodyText"/>
      </w:pPr>
      <w:r>
        <w:rPr>
          <w:bCs/>
          <w:b/>
        </w:rPr>
        <w:t xml:space="preserve">Authorised Signatory – Supplier</w:t>
      </w:r>
      <w:r>
        <w:br/>
      </w:r>
      <w:r>
        <w:t xml:space="preserve">Mr. Tan Wei Ming</w:t>
      </w:r>
      <w:r>
        <w:br/>
      </w:r>
      <w:r>
        <w:t xml:space="preserve">Procurement Manager</w:t>
      </w:r>
      <w:r>
        <w:br/>
      </w:r>
      <w:r>
        <w:t xml:space="preserve">MediSupply Asia (M) Sdn. Bhd.</w:t>
      </w:r>
      <w:r>
        <w:br/>
      </w:r>
      <w:r>
        <w:t xml:space="preserve">Date: _______________</w:t>
      </w:r>
    </w:p>
    <w:p>
      <w:pPr>
        <w:pStyle w:val="BodyText"/>
      </w:pPr>
      <w:r>
        <w:t xml:space="preserve">This</w:t>
      </w:r>
      <w:r>
        <w:t xml:space="preserve"> </w:t>
      </w:r>
      <w:r>
        <w:t xml:space="preserve">Purchase Order</w:t>
      </w:r>
      <w:r>
        <w:t xml:space="preserve"> </w:t>
      </w:r>
      <w:r>
        <w:t xml:space="preserve">document is issued for the exclusive use of a registered</w:t>
      </w:r>
      <w:r>
        <w:t xml:space="preserve"> </w:t>
      </w:r>
      <w:r>
        <w:t xml:space="preserve">Doctor General Practitioner</w:t>
      </w:r>
      <w:r>
        <w:t xml:space="preserve"> </w:t>
      </w:r>
      <w:r>
        <w:t xml:space="preserve">clinic in</w:t>
      </w:r>
      <w:r>
        <w:t xml:space="preserve"> </w:t>
      </w:r>
      <w:r>
        <w:t xml:space="preserve">Malaysia Kuala Lumpur</w:t>
      </w:r>
      <w:r>
        <w:t xml:space="preserve">. Document Reference: PO-2025-KL-00847. Please retain this copy for your records. For queries, contact the procurement department at procurement@medicaregp.com.my or +603-2145 6789. This document is valid for 60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Malaysia Kuala Lumpur</dc:title>
  <dc:creator/>
  <dc:language>en</dc:language>
  <cp:keywords/>
  <dcterms:created xsi:type="dcterms:W3CDTF">2026-10-10T07:34:06Z</dcterms:created>
  <dcterms:modified xsi:type="dcterms:W3CDTF">2026-10-10T07:34:06Z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