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Netherlands</w:t>
      </w:r>
      <w:r>
        <w:t xml:space="preserve"> </w:t>
      </w:r>
      <w:r>
        <w:t xml:space="preserve">Amsterdam</w:t>
      </w:r>
    </w:p>
    <w:p>
      <w:pPr>
        <w:pStyle w:val="FirstParagraph"/>
      </w:pPr>
      <w:r>
        <w:t xml:space="preserve">OFFICIAL DOCUMENT</w:t>
      </w:r>
    </w:p>
    <w:bookmarkStart w:id="20" w:name="purchase-order"/>
    <w:p>
      <w:pPr>
        <w:pStyle w:val="Heading1"/>
      </w:pPr>
      <w:r>
        <w:t xml:space="preserve">PURCHASE ORDER</w:t>
      </w:r>
    </w:p>
    <w:p>
      <w:pPr>
        <w:pStyle w:val="FirstParagraph"/>
      </w:pPr>
      <w:r>
        <w:t xml:space="preserve">Doctor General Practitioner – Medical Supply Procurement</w:t>
      </w:r>
    </w:p>
    <w:p>
      <w:pPr>
        <w:pStyle w:val="BodyText"/>
      </w:pPr>
      <w:r>
        <w:t xml:space="preserve">Amsterdam, Netherlands</w:t>
      </w:r>
    </w:p>
    <w:bookmarkEnd w:id="20"/>
    <w:p>
      <w:pPr>
        <w:pStyle w:val="BodyText"/>
      </w:pPr>
      <w:r>
        <w:rPr>
          <w:bCs/>
          <w:b/>
        </w:rPr>
        <w:t xml:space="preserve">Purchase Order No.:</w:t>
      </w:r>
      <w:r>
        <w:t xml:space="preserve"> </w:t>
      </w:r>
      <w:r>
        <w:t xml:space="preserve">PO-AMS-2025-04872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Delivery Location:</w:t>
      </w:r>
      <w:r>
        <w:t xml:space="preserve"> </w:t>
      </w:r>
      <w:r>
        <w:t xml:space="preserve">Netherlands Amsterdam</w:t>
      </w:r>
      <w:r>
        <w:br/>
      </w:r>
      <w:r>
        <w:rPr>
          <w:bCs/>
          <w:b/>
        </w:rPr>
        <w:t xml:space="preserve">Payment Terms:</w:t>
      </w:r>
      <w:r>
        <w:t xml:space="preserve"> </w:t>
      </w:r>
      <w:r>
        <w:t xml:space="preserve">Net 30 Days</w:t>
      </w:r>
      <w:r>
        <w:br/>
      </w:r>
      <w:r>
        <w:rPr>
          <w:bCs/>
          <w:b/>
        </w:rPr>
        <w:t xml:space="preserve">Currency:</w:t>
      </w:r>
      <w:r>
        <w:t xml:space="preserve"> </w:t>
      </w:r>
      <w:r>
        <w:t xml:space="preserve">EUR (€)</w:t>
      </w:r>
    </w:p>
    <w:p>
      <w:pPr>
        <w:pStyle w:val="BodyText"/>
      </w:pPr>
      <w:r>
        <w:t xml:space="preserve">PARTIES INVOLVED</w:t>
      </w:r>
    </w:p>
    <w:bookmarkStart w:id="21" w:name="buyer-receiving-party"/>
    <w:p>
      <w:pPr>
        <w:pStyle w:val="Heading3"/>
      </w:pPr>
      <w:r>
        <w:t xml:space="preserve">Buyer (Receiving Party)</w:t>
      </w:r>
    </w:p>
    <w:p>
      <w:pPr>
        <w:pStyle w:val="FirstParagraph"/>
      </w:pPr>
      <w:r>
        <w:rPr>
          <w:bCs/>
          <w:b/>
        </w:rPr>
        <w:t xml:space="preserve">Dr. Hendrik van der Berg, MD</w:t>
      </w:r>
      <w:r>
        <w:br/>
      </w:r>
      <w:r>
        <w:t xml:space="preserve">Doctor General Practitioner</w:t>
      </w:r>
      <w:r>
        <w:br/>
      </w:r>
      <w:r>
        <w:t xml:space="preserve">Huisartsenpraktijk Amsterdam-Noord</w:t>
      </w:r>
      <w:r>
        <w:br/>
      </w:r>
      <w:r>
        <w:t xml:space="preserve">Herengracht 412, 1017 BX</w:t>
      </w:r>
      <w:r>
        <w:br/>
      </w:r>
      <w:r>
        <w:t xml:space="preserve">Amsterdam, Netherlands</w:t>
      </w:r>
      <w:r>
        <w:br/>
      </w:r>
      <w:r>
        <w:t xml:space="preserve">KVK: 87654321</w:t>
      </w:r>
      <w:r>
        <w:br/>
      </w:r>
      <w:r>
        <w:t xml:space="preserve">BTW: NL861234567B01</w:t>
      </w:r>
      <w:r>
        <w:br/>
      </w:r>
      <w:r>
        <w:t xml:space="preserve">Tel: +31 20 555 0142</w:t>
      </w:r>
      <w:r>
        <w:br/>
      </w:r>
      <w:r>
        <w:t xml:space="preserve">Email: h.van.der.berg@huisarts-am.nl</w:t>
      </w:r>
    </w:p>
    <w:bookmarkEnd w:id="21"/>
    <w:bookmarkStart w:id="22" w:name="supplier-selling-party"/>
    <w:p>
      <w:pPr>
        <w:pStyle w:val="Heading3"/>
      </w:pPr>
      <w:r>
        <w:t xml:space="preserve">Supplier (Selling Party)</w:t>
      </w:r>
    </w:p>
    <w:p>
      <w:pPr>
        <w:pStyle w:val="FirstParagraph"/>
      </w:pPr>
      <w:r>
        <w:rPr>
          <w:bCs/>
          <w:b/>
        </w:rPr>
        <w:t xml:space="preserve">MediSupply Benelux B.V.</w:t>
      </w:r>
      <w:r>
        <w:br/>
      </w:r>
      <w:r>
        <w:t xml:space="preserve">Medical Equipment &amp; Supplies</w:t>
      </w:r>
      <w:r>
        <w:br/>
      </w:r>
      <w:r>
        <w:t xml:space="preserve">Industrieweg 88, 1101 AA</w:t>
      </w:r>
      <w:r>
        <w:br/>
      </w:r>
      <w:r>
        <w:t xml:space="preserve">Amsterdam, Netherlands</w:t>
      </w:r>
      <w:r>
        <w:br/>
      </w:r>
      <w:r>
        <w:t xml:space="preserve">KVK: 91234567</w:t>
      </w:r>
      <w:r>
        <w:br/>
      </w:r>
      <w:r>
        <w:t xml:space="preserve">BTW: NL872345678B01</w:t>
      </w:r>
      <w:r>
        <w:br/>
      </w:r>
      <w:r>
        <w:t xml:space="preserve">Tel: +31 20 555 0389</w:t>
      </w:r>
      <w:r>
        <w:br/>
      </w:r>
      <w:r>
        <w:t xml:space="preserve">Email: orders@medisupply-benelux.nl</w:t>
      </w:r>
    </w:p>
    <w:bookmarkEnd w:id="22"/>
    <w:p>
      <w:pPr>
        <w:pStyle w:val="BodyText"/>
      </w:pPr>
      <w:r>
        <w:t xml:space="preserve">PURCHASE ORDER LINE ITEMS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w:t>
            </w:r>
          </w:p>
        </w:tc>
        <w:tc>
          <w:tcPr/>
          <w:p>
            <w:pPr>
              <w:pStyle w:val="Compact"/>
              <w:jc w:val="left"/>
            </w:pPr>
            <w:r>
              <w:t xml:space="preserve">SKU / Ref.</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c>
          <w:tcPr/>
          <w:p>
            <w:pPr>
              <w:pStyle w:val="Compact"/>
              <w:jc w:val="left"/>
            </w:pPr>
            <w:r>
              <w:t xml:space="preserve">Delivery Date</w:t>
            </w:r>
          </w:p>
        </w:tc>
      </w:tr>
      <w:tr>
        <w:tc>
          <w:tcPr/>
          <w:p>
            <w:pPr>
              <w:pStyle w:val="Compact"/>
              <w:jc w:val="left"/>
            </w:pPr>
            <w:r>
              <w:t xml:space="preserve">1</w:t>
            </w:r>
          </w:p>
        </w:tc>
        <w:tc>
          <w:tcPr/>
          <w:p>
            <w:pPr>
              <w:pStyle w:val="Compact"/>
              <w:jc w:val="left"/>
            </w:pPr>
            <w:r>
              <w:t xml:space="preserve">Digital Stethoscope, Dual-Head, for Doctor General Practitioner consultation room</w:t>
            </w:r>
          </w:p>
        </w:tc>
        <w:tc>
          <w:tcPr/>
          <w:p>
            <w:pPr>
              <w:pStyle w:val="Compact"/>
              <w:jc w:val="left"/>
            </w:pPr>
            <w:r>
              <w:t xml:space="preserve">MS-DS-2201</w:t>
            </w:r>
          </w:p>
        </w:tc>
        <w:tc>
          <w:tcPr/>
          <w:p>
            <w:pPr>
              <w:pStyle w:val="Compact"/>
              <w:jc w:val="left"/>
            </w:pPr>
            <w:r>
              <w:t xml:space="preserve">4</w:t>
            </w:r>
          </w:p>
        </w:tc>
        <w:tc>
          <w:tcPr/>
          <w:p>
            <w:pPr>
              <w:pStyle w:val="Compact"/>
              <w:jc w:val="left"/>
            </w:pPr>
            <w:r>
              <w:t xml:space="preserve">€189.00</w:t>
            </w:r>
          </w:p>
        </w:tc>
        <w:tc>
          <w:tcPr/>
          <w:p>
            <w:pPr>
              <w:pStyle w:val="Compact"/>
              <w:jc w:val="left"/>
            </w:pPr>
            <w:r>
              <w:t xml:space="preserve">€756.00</w:t>
            </w:r>
          </w:p>
        </w:tc>
        <w:tc>
          <w:tcPr/>
          <w:p>
            <w:pPr>
              <w:pStyle w:val="Compact"/>
              <w:jc w:val="left"/>
            </w:pPr>
            <w:r>
              <w:t xml:space="preserve">21 June 2025</w:t>
            </w:r>
          </w:p>
        </w:tc>
      </w:tr>
      <w:tr>
        <w:tc>
          <w:tcPr/>
          <w:p>
            <w:pPr>
              <w:pStyle w:val="Compact"/>
              <w:jc w:val="left"/>
            </w:pPr>
            <w:r>
              <w:t xml:space="preserve">2</w:t>
            </w:r>
          </w:p>
        </w:tc>
        <w:tc>
          <w:tcPr/>
          <w:p>
            <w:pPr>
              <w:pStyle w:val="Compact"/>
              <w:jc w:val="left"/>
            </w:pPr>
            <w:r>
              <w:t xml:space="preserve">Automatic Blood Pressure Monitor, Upper Arm, CE Certified, for Netherlands Amsterdam clinic use</w:t>
            </w:r>
          </w:p>
        </w:tc>
        <w:tc>
          <w:tcPr/>
          <w:p>
            <w:pPr>
              <w:pStyle w:val="Compact"/>
              <w:jc w:val="left"/>
            </w:pPr>
            <w:r>
              <w:t xml:space="preserve">MS-BP-3310</w:t>
            </w:r>
          </w:p>
        </w:tc>
        <w:tc>
          <w:tcPr/>
          <w:p>
            <w:pPr>
              <w:pStyle w:val="Compact"/>
              <w:jc w:val="left"/>
            </w:pPr>
            <w:r>
              <w:t xml:space="preserve">6</w:t>
            </w:r>
          </w:p>
        </w:tc>
        <w:tc>
          <w:tcPr/>
          <w:p>
            <w:pPr>
              <w:pStyle w:val="Compact"/>
              <w:jc w:val="left"/>
            </w:pPr>
            <w:r>
              <w:t xml:space="preserve">€145.50</w:t>
            </w:r>
          </w:p>
        </w:tc>
        <w:tc>
          <w:tcPr/>
          <w:p>
            <w:pPr>
              <w:pStyle w:val="Compact"/>
              <w:jc w:val="left"/>
            </w:pPr>
            <w:r>
              <w:t xml:space="preserve">€873.00</w:t>
            </w:r>
          </w:p>
        </w:tc>
        <w:tc>
          <w:tcPr/>
          <w:p>
            <w:pPr>
              <w:pStyle w:val="Compact"/>
              <w:jc w:val="left"/>
            </w:pPr>
            <w:r>
              <w:t xml:space="preserve">21 June 2025</w:t>
            </w:r>
          </w:p>
        </w:tc>
      </w:tr>
      <w:tr>
        <w:tc>
          <w:tcPr/>
          <w:p>
            <w:pPr>
              <w:pStyle w:val="Compact"/>
              <w:jc w:val="left"/>
            </w:pPr>
            <w:r>
              <w:t xml:space="preserve">3</w:t>
            </w:r>
          </w:p>
        </w:tc>
        <w:tc>
          <w:tcPr/>
          <w:p>
            <w:pPr>
              <w:pStyle w:val="Compact"/>
              <w:jc w:val="left"/>
            </w:pPr>
            <w:r>
              <w:t xml:space="preserve">Pulse Oximeter, Fingertip, Medical Grade, for Doctor General Practitioner patient monitoring</w:t>
            </w:r>
          </w:p>
        </w:tc>
        <w:tc>
          <w:tcPr/>
          <w:p>
            <w:pPr>
              <w:pStyle w:val="Compact"/>
              <w:jc w:val="left"/>
            </w:pPr>
            <w:r>
              <w:t xml:space="preserve">MS-PO-1105</w:t>
            </w:r>
          </w:p>
        </w:tc>
        <w:tc>
          <w:tcPr/>
          <w:p>
            <w:pPr>
              <w:pStyle w:val="Compact"/>
              <w:jc w:val="left"/>
            </w:pPr>
            <w:r>
              <w:t xml:space="preserve">10</w:t>
            </w:r>
          </w:p>
        </w:tc>
        <w:tc>
          <w:tcPr/>
          <w:p>
            <w:pPr>
              <w:pStyle w:val="Compact"/>
              <w:jc w:val="left"/>
            </w:pPr>
            <w:r>
              <w:t xml:space="preserve">€62.00</w:t>
            </w:r>
          </w:p>
        </w:tc>
        <w:tc>
          <w:tcPr/>
          <w:p>
            <w:pPr>
              <w:pStyle w:val="Compact"/>
              <w:jc w:val="left"/>
            </w:pPr>
            <w:r>
              <w:t xml:space="preserve">€620.00</w:t>
            </w:r>
          </w:p>
        </w:tc>
        <w:tc>
          <w:tcPr/>
          <w:p>
            <w:pPr>
              <w:pStyle w:val="Compact"/>
              <w:jc w:val="left"/>
            </w:pPr>
            <w:r>
              <w:t xml:space="preserve">21 June 2025</w:t>
            </w:r>
          </w:p>
        </w:tc>
      </w:tr>
      <w:tr>
        <w:tc>
          <w:tcPr/>
          <w:p>
            <w:pPr>
              <w:pStyle w:val="Compact"/>
              <w:jc w:val="left"/>
            </w:pPr>
            <w:r>
              <w:t xml:space="preserve">4</w:t>
            </w:r>
          </w:p>
        </w:tc>
        <w:tc>
          <w:tcPr/>
          <w:p>
            <w:pPr>
              <w:pStyle w:val="Compact"/>
              <w:jc w:val="left"/>
            </w:pPr>
            <w:r>
              <w:t xml:space="preserve">Examination Table, Adjustable Height, with Paper Roll Holder, for Netherlands Amsterdam practice</w:t>
            </w:r>
          </w:p>
        </w:tc>
        <w:tc>
          <w:tcPr/>
          <w:p>
            <w:pPr>
              <w:pStyle w:val="Compact"/>
              <w:jc w:val="left"/>
            </w:pPr>
            <w:r>
              <w:t xml:space="preserve">MS-ET-4402</w:t>
            </w:r>
          </w:p>
        </w:tc>
        <w:tc>
          <w:tcPr/>
          <w:p>
            <w:pPr>
              <w:pStyle w:val="Compact"/>
              <w:jc w:val="left"/>
            </w:pPr>
            <w:r>
              <w:t xml:space="preserve">2</w:t>
            </w:r>
          </w:p>
        </w:tc>
        <w:tc>
          <w:tcPr/>
          <w:p>
            <w:pPr>
              <w:pStyle w:val="Compact"/>
              <w:jc w:val="left"/>
            </w:pPr>
            <w:r>
              <w:t xml:space="preserve">€1,250.00</w:t>
            </w:r>
          </w:p>
        </w:tc>
        <w:tc>
          <w:tcPr/>
          <w:p>
            <w:pPr>
              <w:pStyle w:val="Compact"/>
              <w:jc w:val="left"/>
            </w:pPr>
            <w:r>
              <w:t xml:space="preserve">€2,500.00</w:t>
            </w:r>
          </w:p>
        </w:tc>
        <w:tc>
          <w:tcPr/>
          <w:p>
            <w:pPr>
              <w:pStyle w:val="Compact"/>
              <w:jc w:val="left"/>
            </w:pPr>
            <w:r>
              <w:t xml:space="preserve">28 June 2025</w:t>
            </w:r>
          </w:p>
        </w:tc>
      </w:tr>
      <w:tr>
        <w:tc>
          <w:tcPr/>
          <w:p>
            <w:pPr>
              <w:pStyle w:val="Compact"/>
              <w:jc w:val="left"/>
            </w:pPr>
            <w:r>
              <w:t xml:space="preserve">5</w:t>
            </w:r>
          </w:p>
        </w:tc>
        <w:tc>
          <w:tcPr/>
          <w:p>
            <w:pPr>
              <w:pStyle w:val="Compact"/>
              <w:jc w:val="left"/>
            </w:pPr>
            <w:r>
              <w:t xml:space="preserve">Thermometer, Infrared Forehead, Non-Contact, for Doctor General Practitioner triage station</w:t>
            </w:r>
          </w:p>
        </w:tc>
        <w:tc>
          <w:tcPr/>
          <w:p>
            <w:pPr>
              <w:pStyle w:val="Compact"/>
              <w:jc w:val="left"/>
            </w:pPr>
            <w:r>
              <w:t xml:space="preserve">MS-TH-5520</w:t>
            </w:r>
          </w:p>
        </w:tc>
        <w:tc>
          <w:tcPr/>
          <w:p>
            <w:pPr>
              <w:pStyle w:val="Compact"/>
              <w:jc w:val="left"/>
            </w:pPr>
            <w:r>
              <w:t xml:space="preserve">8</w:t>
            </w:r>
          </w:p>
        </w:tc>
        <w:tc>
          <w:tcPr/>
          <w:p>
            <w:pPr>
              <w:pStyle w:val="Compact"/>
              <w:jc w:val="left"/>
            </w:pPr>
            <w:r>
              <w:t xml:space="preserve">€89.90</w:t>
            </w:r>
          </w:p>
        </w:tc>
        <w:tc>
          <w:tcPr/>
          <w:p>
            <w:pPr>
              <w:pStyle w:val="Compact"/>
              <w:jc w:val="left"/>
            </w:pPr>
            <w:r>
              <w:t xml:space="preserve">€719.20</w:t>
            </w:r>
          </w:p>
        </w:tc>
        <w:tc>
          <w:tcPr/>
          <w:p>
            <w:pPr>
              <w:pStyle w:val="Compact"/>
              <w:jc w:val="left"/>
            </w:pPr>
            <w:r>
              <w:t xml:space="preserve">21 June 2025</w:t>
            </w:r>
          </w:p>
        </w:tc>
      </w:tr>
      <w:tr>
        <w:tc>
          <w:tcPr/>
          <w:p>
            <w:pPr>
              <w:pStyle w:val="Compact"/>
              <w:jc w:val="left"/>
            </w:pPr>
            <w:r>
              <w:t xml:space="preserve">6</w:t>
            </w:r>
          </w:p>
        </w:tc>
        <w:tc>
          <w:tcPr/>
          <w:p>
            <w:pPr>
              <w:pStyle w:val="Compact"/>
              <w:jc w:val="left"/>
            </w:pPr>
            <w:r>
              <w:t xml:space="preserve">Disposable Examination Gloves, Nitrile, Box of 100, assorted sizes, for Netherlands Amsterdam clinic</w:t>
            </w:r>
          </w:p>
        </w:tc>
        <w:tc>
          <w:tcPr/>
          <w:p>
            <w:pPr>
              <w:pStyle w:val="Compact"/>
              <w:jc w:val="left"/>
            </w:pPr>
            <w:r>
              <w:t xml:space="preserve">MS-DG-6601</w:t>
            </w:r>
          </w:p>
        </w:tc>
        <w:tc>
          <w:tcPr/>
          <w:p>
            <w:pPr>
              <w:pStyle w:val="Compact"/>
              <w:jc w:val="left"/>
            </w:pPr>
            <w:r>
              <w:t xml:space="preserve">200</w:t>
            </w:r>
          </w:p>
        </w:tc>
        <w:tc>
          <w:tcPr/>
          <w:p>
            <w:pPr>
              <w:pStyle w:val="Compact"/>
              <w:jc w:val="left"/>
            </w:pPr>
            <w:r>
              <w:t xml:space="preserve">€4.25</w:t>
            </w:r>
          </w:p>
        </w:tc>
        <w:tc>
          <w:tcPr/>
          <w:p>
            <w:pPr>
              <w:pStyle w:val="Compact"/>
              <w:jc w:val="left"/>
            </w:pPr>
            <w:r>
              <w:t xml:space="preserve">€850.00</w:t>
            </w:r>
          </w:p>
        </w:tc>
        <w:tc>
          <w:tcPr/>
          <w:p>
            <w:pPr>
              <w:pStyle w:val="Compact"/>
              <w:jc w:val="left"/>
            </w:pPr>
            <w:r>
              <w:t xml:space="preserve">21 June 2025</w:t>
            </w:r>
          </w:p>
        </w:tc>
      </w:tr>
      <w:tr>
        <w:tc>
          <w:tcPr/>
          <w:p>
            <w:pPr>
              <w:pStyle w:val="Compact"/>
              <w:jc w:val="left"/>
            </w:pPr>
            <w:r>
              <w:t xml:space="preserve">7</w:t>
            </w:r>
          </w:p>
        </w:tc>
        <w:tc>
          <w:tcPr/>
          <w:p>
            <w:pPr>
              <w:pStyle w:val="Compact"/>
              <w:jc w:val="left"/>
            </w:pPr>
            <w:r>
              <w:t xml:space="preserve">Electrocardiogram (ECG) Machine, 12-Lead, Portable, for Doctor General Practitioner cardiac screening</w:t>
            </w:r>
          </w:p>
        </w:tc>
        <w:tc>
          <w:tcPr/>
          <w:p>
            <w:pPr>
              <w:pStyle w:val="Compact"/>
              <w:jc w:val="left"/>
            </w:pPr>
            <w:r>
              <w:t xml:space="preserve">MS-EC-7710</w:t>
            </w:r>
          </w:p>
        </w:tc>
        <w:tc>
          <w:tcPr/>
          <w:p>
            <w:pPr>
              <w:pStyle w:val="Compact"/>
              <w:jc w:val="left"/>
            </w:pPr>
            <w:r>
              <w:t xml:space="preserve">1</w:t>
            </w:r>
          </w:p>
        </w:tc>
        <w:tc>
          <w:tcPr/>
          <w:p>
            <w:pPr>
              <w:pStyle w:val="Compact"/>
              <w:jc w:val="left"/>
            </w:pPr>
            <w:r>
              <w:t xml:space="preserve">€3,450.00</w:t>
            </w:r>
          </w:p>
        </w:tc>
        <w:tc>
          <w:tcPr/>
          <w:p>
            <w:pPr>
              <w:pStyle w:val="Compact"/>
              <w:jc w:val="left"/>
            </w:pPr>
            <w:r>
              <w:t xml:space="preserve">€3,450.00</w:t>
            </w:r>
          </w:p>
        </w:tc>
        <w:tc>
          <w:tcPr/>
          <w:p>
            <w:pPr>
              <w:pStyle w:val="Compact"/>
              <w:jc w:val="left"/>
            </w:pPr>
            <w:r>
              <w:t xml:space="preserve">28 June 2025</w:t>
            </w:r>
          </w:p>
        </w:tc>
      </w:tr>
      <w:tr>
        <w:tc>
          <w:tcPr/>
          <w:p>
            <w:pPr>
              <w:pStyle w:val="Compact"/>
              <w:jc w:val="left"/>
            </w:pPr>
            <w:r>
              <w:t xml:space="preserve">8</w:t>
            </w:r>
          </w:p>
        </w:tc>
        <w:tc>
          <w:tcPr/>
          <w:p>
            <w:pPr>
              <w:pStyle w:val="Compact"/>
              <w:jc w:val="left"/>
            </w:pPr>
            <w:r>
              <w:t xml:space="preserve">Medical Waste Disposal Bins, 20L, with Pedal, for Netherlands Amsterdam practice compliance</w:t>
            </w:r>
          </w:p>
        </w:tc>
        <w:tc>
          <w:tcPr/>
          <w:p>
            <w:pPr>
              <w:pStyle w:val="Compact"/>
              <w:jc w:val="left"/>
            </w:pPr>
            <w:r>
              <w:t xml:space="preserve">MS-WB-8803</w:t>
            </w:r>
          </w:p>
        </w:tc>
        <w:tc>
          <w:tcPr/>
          <w:p>
            <w:pPr>
              <w:pStyle w:val="Compact"/>
              <w:jc w:val="left"/>
            </w:pPr>
            <w:r>
              <w:t xml:space="preserve">6</w:t>
            </w:r>
          </w:p>
        </w:tc>
        <w:tc>
          <w:tcPr/>
          <w:p>
            <w:pPr>
              <w:pStyle w:val="Compact"/>
              <w:jc w:val="left"/>
            </w:pPr>
            <w:r>
              <w:t xml:space="preserve">€78.00</w:t>
            </w:r>
          </w:p>
        </w:tc>
        <w:tc>
          <w:tcPr/>
          <w:p>
            <w:pPr>
              <w:pStyle w:val="Compact"/>
              <w:jc w:val="left"/>
            </w:pPr>
            <w:r>
              <w:t xml:space="preserve">€468.00</w:t>
            </w:r>
          </w:p>
        </w:tc>
        <w:tc>
          <w:tcPr/>
          <w:p>
            <w:pPr>
              <w:pStyle w:val="Compact"/>
              <w:jc w:val="left"/>
            </w:pPr>
            <w:r>
              <w:t xml:space="preserve">21 June 2025</w:t>
            </w:r>
          </w:p>
        </w:tc>
      </w:tr>
      <w:tr>
        <w:tc>
          <w:tcPr/>
          <w:p>
            <w:pPr>
              <w:pStyle w:val="Compact"/>
              <w:jc w:val="left"/>
            </w:pPr>
            <w:r>
              <w:t xml:space="preserve">9</w:t>
            </w:r>
          </w:p>
        </w:tc>
        <w:tc>
          <w:tcPr/>
          <w:p>
            <w:pPr>
              <w:pStyle w:val="Compact"/>
              <w:jc w:val="left"/>
            </w:pPr>
            <w:r>
              <w:t xml:space="preserve">First Aid Kit, Medical Practice Standard, CE Marked, for Doctor General Practitioner emergency response</w:t>
            </w:r>
          </w:p>
        </w:tc>
        <w:tc>
          <w:tcPr/>
          <w:p>
            <w:pPr>
              <w:pStyle w:val="Compact"/>
              <w:jc w:val="left"/>
            </w:pPr>
            <w:r>
              <w:t xml:space="preserve">MS-FA-9901</w:t>
            </w:r>
          </w:p>
        </w:tc>
        <w:tc>
          <w:tcPr/>
          <w:p>
            <w:pPr>
              <w:pStyle w:val="Compact"/>
              <w:jc w:val="left"/>
            </w:pPr>
            <w:r>
              <w:t xml:space="preserve">4</w:t>
            </w:r>
          </w:p>
        </w:tc>
        <w:tc>
          <w:tcPr/>
          <w:p>
            <w:pPr>
              <w:pStyle w:val="Compact"/>
              <w:jc w:val="left"/>
            </w:pPr>
            <w:r>
              <w:t xml:space="preserve">€125.00</w:t>
            </w:r>
          </w:p>
        </w:tc>
        <w:tc>
          <w:tcPr/>
          <w:p>
            <w:pPr>
              <w:pStyle w:val="Compact"/>
              <w:jc w:val="left"/>
            </w:pPr>
            <w:r>
              <w:t xml:space="preserve">€500.00</w:t>
            </w:r>
          </w:p>
        </w:tc>
        <w:tc>
          <w:tcPr/>
          <w:p>
            <w:pPr>
              <w:pStyle w:val="Compact"/>
              <w:jc w:val="left"/>
            </w:pPr>
            <w:r>
              <w:t xml:space="preserve">21 June 2025</w:t>
            </w:r>
          </w:p>
        </w:tc>
      </w:tr>
      <w:tr>
        <w:tc>
          <w:tcPr/>
          <w:p>
            <w:pPr>
              <w:pStyle w:val="Compact"/>
              <w:jc w:val="left"/>
            </w:pPr>
            <w:r>
              <w:t xml:space="preserve">10</w:t>
            </w:r>
          </w:p>
        </w:tc>
        <w:tc>
          <w:tcPr/>
          <w:p>
            <w:pPr>
              <w:pStyle w:val="Compact"/>
              <w:jc w:val="left"/>
            </w:pPr>
            <w:r>
              <w:t xml:space="preserve">OTC Medication Stock, Standard Doctor General Practitioner Formulary, Netherlands Amsterdam approved list</w:t>
            </w:r>
          </w:p>
        </w:tc>
        <w:tc>
          <w:tcPr/>
          <w:p>
            <w:pPr>
              <w:pStyle w:val="Compact"/>
              <w:jc w:val="left"/>
            </w:pPr>
            <w:r>
              <w:t xml:space="preserve">MS-OTC-1001</w:t>
            </w:r>
          </w:p>
        </w:tc>
        <w:tc>
          <w:tcPr/>
          <w:p>
            <w:pPr>
              <w:pStyle w:val="Compact"/>
              <w:jc w:val="left"/>
            </w:pPr>
            <w:r>
              <w:t xml:space="preserve">1</w:t>
            </w:r>
          </w:p>
        </w:tc>
        <w:tc>
          <w:tcPr/>
          <w:p>
            <w:pPr>
              <w:pStyle w:val="Compact"/>
              <w:jc w:val="left"/>
            </w:pPr>
            <w:r>
              <w:t xml:space="preserve">€2,890.00</w:t>
            </w:r>
          </w:p>
        </w:tc>
        <w:tc>
          <w:tcPr/>
          <w:p>
            <w:pPr>
              <w:pStyle w:val="Compact"/>
              <w:jc w:val="left"/>
            </w:pPr>
            <w:r>
              <w:t xml:space="preserve">€2,890.00</w:t>
            </w:r>
          </w:p>
        </w:tc>
        <w:tc>
          <w:tcPr/>
          <w:p>
            <w:pPr>
              <w:pStyle w:val="Compact"/>
              <w:jc w:val="left"/>
            </w:pPr>
            <w:r>
              <w:t xml:space="preserve">28 June 2025</w:t>
            </w:r>
          </w:p>
        </w:tc>
      </w:tr>
      <w:tr>
        <w:tc>
          <w:tcPr>
            <w:gridSpan w:val="5"/>
          </w:tcPr>
          <w:p>
            <w:pPr>
              <w:pStyle w:val="Compact"/>
              <w:jc w:val="right"/>
            </w:pPr>
            <w:r>
              <w:t xml:space="preserve">SUBTOTAL</w:t>
            </w:r>
          </w:p>
        </w:tc>
        <w:tc>
          <w:tcPr/>
          <w:p>
            <w:pPr>
              <w:pStyle w:val="Compact"/>
              <w:jc w:val="left"/>
            </w:pPr>
            <w:r>
              <w:t xml:space="preserve">€12,626.20</w:t>
            </w:r>
          </w:p>
        </w:tc>
        <w:tc>
          <w:tcPr/>
          <w:p>
            <w:pPr>
              <w:pStyle w:val="Compact"/>
            </w:pPr>
          </w:p>
        </w:tc>
      </w:tr>
      <w:tr>
        <w:tc>
          <w:tcPr>
            <w:gridSpan w:val="5"/>
          </w:tcPr>
          <w:p>
            <w:pPr>
              <w:pStyle w:val="Compact"/>
              <w:jc w:val="right"/>
            </w:pPr>
            <w:r>
              <w:t xml:space="preserve">VAT (21% – Netherlands)</w:t>
            </w:r>
          </w:p>
        </w:tc>
        <w:tc>
          <w:tcPr/>
          <w:p>
            <w:pPr>
              <w:pStyle w:val="Compact"/>
              <w:jc w:val="left"/>
            </w:pPr>
            <w:r>
              <w:t xml:space="preserve">€2,651.50</w:t>
            </w:r>
          </w:p>
        </w:tc>
        <w:tc>
          <w:tcPr/>
          <w:p>
            <w:pPr>
              <w:pStyle w:val="Compact"/>
            </w:pPr>
          </w:p>
        </w:tc>
      </w:tr>
      <w:tr>
        <w:tc>
          <w:tcPr>
            <w:gridSpan w:val="5"/>
          </w:tcPr>
          <w:p>
            <w:pPr>
              <w:pStyle w:val="Compact"/>
              <w:jc w:val="right"/>
            </w:pPr>
            <w:r>
              <w:t xml:space="preserve">DELIVERY FEE (Amsterdam, Netherlands)</w:t>
            </w:r>
          </w:p>
        </w:tc>
        <w:tc>
          <w:tcPr/>
          <w:p>
            <w:pPr>
              <w:pStyle w:val="Compact"/>
              <w:jc w:val="left"/>
            </w:pPr>
            <w:r>
              <w:t xml:space="preserve">€185.00</w:t>
            </w:r>
          </w:p>
        </w:tc>
        <w:tc>
          <w:tcPr/>
          <w:p>
            <w:pPr>
              <w:pStyle w:val="Compact"/>
            </w:pPr>
          </w:p>
        </w:tc>
      </w:tr>
      <w:tr>
        <w:tc>
          <w:tcPr>
            <w:gridSpan w:val="5"/>
          </w:tcPr>
          <w:p>
            <w:pPr>
              <w:pStyle w:val="Compact"/>
              <w:jc w:val="right"/>
            </w:pPr>
            <w:r>
              <w:t xml:space="preserve">GRAND TOTAL</w:t>
            </w:r>
          </w:p>
        </w:tc>
        <w:tc>
          <w:tcPr/>
          <w:p>
            <w:pPr>
              <w:pStyle w:val="Compact"/>
              <w:jc w:val="left"/>
            </w:pPr>
            <w:r>
              <w:t xml:space="preserve">€15,462.70</w:t>
            </w:r>
          </w:p>
        </w:tc>
        <w:tc>
          <w:tcPr/>
          <w:p>
            <w:pPr>
              <w:pStyle w:val="Compact"/>
            </w:pPr>
          </w:p>
        </w:tc>
      </w:tr>
    </w:tbl>
    <w:p>
      <w:pPr>
        <w:pStyle w:val="BodyText"/>
      </w:pPr>
      <w:r>
        <w:t xml:space="preserve">TERMS AND CONDITIONS</w:t>
      </w:r>
    </w:p>
    <w:p>
      <w:pPr>
        <w:numPr>
          <w:ilvl w:val="0"/>
          <w:numId w:val="1001"/>
        </w:numPr>
        <w:pStyle w:val="Compact"/>
      </w:pPr>
      <w:r>
        <w:rPr>
          <w:bCs/>
          <w:b/>
        </w:rPr>
        <w:t xml:space="preserve">1. Scope of Purchase Order:</w:t>
      </w:r>
      <w:r>
        <w:t xml:space="preserve"> </w:t>
      </w:r>
      <w:r>
        <w:t xml:space="preserve">This Purchase Order is issued by Dr. Hendrik van der Berg, a registered Doctor General Practitioner operating in Netherlands Amsterdam, for the procurement of medical equipment, consumables, and pharmaceutical supplies necessary for the continued operation of the Huisartsenpraktijk Amsterdam-Noord clinic.</w:t>
      </w:r>
    </w:p>
    <w:p>
      <w:pPr>
        <w:numPr>
          <w:ilvl w:val="0"/>
          <w:numId w:val="1001"/>
        </w:numPr>
        <w:pStyle w:val="Compact"/>
      </w:pPr>
      <w:r>
        <w:rPr>
          <w:bCs/>
          <w:b/>
        </w:rPr>
        <w:t xml:space="preserve">2. Delivery:</w:t>
      </w:r>
      <w:r>
        <w:t xml:space="preserve"> </w:t>
      </w:r>
      <w:r>
        <w:t xml:space="preserve">All items listed in this Purchase Order shall be delivered to the clinic address at Herengracht 412, 1017 BX Amsterdam, Netherlands. Delivery within the Netherlands Amsterdam municipality shall be at the supplier's cost as specified. The supplier is responsible for all transit risks until goods are received and signed for by the Doctor General Practitioner or an authorized representative at the Netherlands Amsterdam premises.</w:t>
      </w:r>
    </w:p>
    <w:p>
      <w:pPr>
        <w:numPr>
          <w:ilvl w:val="0"/>
          <w:numId w:val="1001"/>
        </w:numPr>
        <w:pStyle w:val="Compact"/>
      </w:pPr>
      <w:r>
        <w:rPr>
          <w:bCs/>
          <w:b/>
        </w:rPr>
        <w:t xml:space="preserve">3. Payment:</w:t>
      </w:r>
      <w:r>
        <w:t xml:space="preserve"> </w:t>
      </w:r>
      <w:r>
        <w:t xml:space="preserve">Payment of the total amount of €15,462.70 (fifteen thousand four hundred sixty-two euros and seventy cents) shall be made within thirty (30) calendar days from the date of invoice receipt. Payment shall be made via bank transfer to the supplier's designated account. Late payments shall incur interest at the rate of 8% per annum in accordance with Dutch commercial law.</w:t>
      </w:r>
    </w:p>
    <w:p>
      <w:pPr>
        <w:numPr>
          <w:ilvl w:val="0"/>
          <w:numId w:val="1001"/>
        </w:numPr>
        <w:pStyle w:val="Compact"/>
      </w:pPr>
      <w:r>
        <w:rPr>
          <w:bCs/>
          <w:b/>
        </w:rPr>
        <w:t xml:space="preserve">4. Quality and Compliance:</w:t>
      </w:r>
      <w:r>
        <w:t xml:space="preserve"> </w:t>
      </w:r>
      <w:r>
        <w:t xml:space="preserve">All medical devices and supplies delivered under this Purchase Order must comply with the Medical Devices Regulation (EU) 2017/745 and carry valid CE marking. The Doctor General Practitioner reserves the right to reject any items that do not meet the specified standards or are not approved for use in a Netherlands Amsterdam general practice setting.</w:t>
      </w:r>
    </w:p>
    <w:p>
      <w:pPr>
        <w:numPr>
          <w:ilvl w:val="0"/>
          <w:numId w:val="1001"/>
        </w:numPr>
        <w:pStyle w:val="Compact"/>
      </w:pPr>
      <w:r>
        <w:rPr>
          <w:bCs/>
          <w:b/>
        </w:rPr>
        <w:t xml:space="preserve">5. Warranties:</w:t>
      </w:r>
      <w:r>
        <w:t xml:space="preserve"> </w:t>
      </w:r>
      <w:r>
        <w:t xml:space="preserve">The supplier warrants that all goods are new, unused, and free from defects in material and workmanship. Standard manufacturer warranties apply. The Doctor General Practitioner shall notify the supplier of any defects within fourteen (14) days of delivery.</w:t>
      </w:r>
    </w:p>
    <w:p>
      <w:pPr>
        <w:numPr>
          <w:ilvl w:val="0"/>
          <w:numId w:val="1001"/>
        </w:numPr>
        <w:pStyle w:val="Compact"/>
      </w:pPr>
      <w:r>
        <w:rPr>
          <w:bCs/>
          <w:b/>
        </w:rPr>
        <w:t xml:space="preserve">6. Cancellation and Modification:</w:t>
      </w:r>
      <w:r>
        <w:t xml:space="preserve"> </w:t>
      </w:r>
      <w:r>
        <w:t xml:space="preserve">This Purchase Order may be cancelled or modified in writing by either party up to seven (7) days prior to the scheduled delivery date. Cancellations after this period may be subject to a 15% restocking fee.</w:t>
      </w:r>
    </w:p>
    <w:p>
      <w:pPr>
        <w:numPr>
          <w:ilvl w:val="0"/>
          <w:numId w:val="1001"/>
        </w:numPr>
        <w:pStyle w:val="Compact"/>
      </w:pPr>
      <w:r>
        <w:rPr>
          <w:bCs/>
          <w:b/>
        </w:rPr>
        <w:t xml:space="preserve">7. Governing Law:</w:t>
      </w:r>
      <w:r>
        <w:t xml:space="preserve"> </w:t>
      </w:r>
      <w:r>
        <w:t xml:space="preserve">This Purchase Order shall be governed by and construed in accordance with the laws of the Netherlands. Any disputes arising from this Purchase Order shall be subject to the exclusive jurisdiction of the competent court in Amsterdam, Netherlands.</w:t>
      </w:r>
    </w:p>
    <w:p>
      <w:pPr>
        <w:numPr>
          <w:ilvl w:val="0"/>
          <w:numId w:val="1001"/>
        </w:numPr>
        <w:pStyle w:val="Compact"/>
      </w:pPr>
      <w:r>
        <w:rPr>
          <w:bCs/>
          <w:b/>
        </w:rPr>
        <w:t xml:space="preserve">8. Data Protection:</w:t>
      </w:r>
      <w:r>
        <w:t xml:space="preserve"> </w:t>
      </w:r>
      <w:r>
        <w:t xml:space="preserve">Both parties agree to comply with the General Data Protection Regulation (GDPR) and the Dutch UAVG in the handling of any personal data exchanged in connection with this Purchase Order.</w:t>
      </w:r>
    </w:p>
    <w:p>
      <w:pPr>
        <w:pStyle w:val="FirstParagraph"/>
      </w:pPr>
      <w:r>
        <w:t xml:space="preserve">AUTHORIZATION AND SIGNATURES</w:t>
      </w:r>
    </w:p>
    <w:p>
      <w:pPr>
        <w:pStyle w:val="BodyText"/>
      </w:pPr>
      <w:r>
        <w:rPr>
          <w:bCs/>
          <w:b/>
        </w:rPr>
        <w:t xml:space="preserve">For the Buyer (Doctor General Practitioner):</w:t>
      </w:r>
    </w:p>
    <w:p>
      <w:pPr>
        <w:pStyle w:val="BodyText"/>
      </w:pPr>
      <w:r>
        <w:t xml:space="preserve">Dr. Hendrik van der Berg, MD</w:t>
      </w:r>
      <w:r>
        <w:br/>
      </w:r>
      <w:r>
        <w:t xml:space="preserve">Doctor General Practitioner</w:t>
      </w:r>
      <w:r>
        <w:br/>
      </w:r>
      <w:r>
        <w:t xml:space="preserve">Date: _______________</w:t>
      </w:r>
    </w:p>
    <w:p>
      <w:pPr>
        <w:pStyle w:val="BodyText"/>
      </w:pPr>
      <w:r>
        <w:rPr>
          <w:bCs/>
          <w:b/>
        </w:rPr>
        <w:t xml:space="preserve">For the Supplier (MediSupply Benelux B.V.):</w:t>
      </w:r>
    </w:p>
    <w:p>
      <w:pPr>
        <w:pStyle w:val="BodyText"/>
      </w:pPr>
      <w:r>
        <w:t xml:space="preserve">Mr. J. de Vries</w:t>
      </w:r>
      <w:r>
        <w:br/>
      </w:r>
      <w:r>
        <w:t xml:space="preserve">Authorized Signatory</w:t>
      </w:r>
      <w:r>
        <w:br/>
      </w:r>
      <w:r>
        <w:t xml:space="preserve">Date: _______________</w:t>
      </w:r>
    </w:p>
    <w:p>
      <w:pPr>
        <w:pStyle w:val="BodyText"/>
      </w:pPr>
      <w:r>
        <w:rPr>
          <w:bCs/>
          <w:b/>
        </w:rPr>
        <w:t xml:space="preserve">Important Notice:</w:t>
      </w:r>
      <w:r>
        <w:t xml:space="preserve"> </w:t>
      </w:r>
      <w:r>
        <w:t xml:space="preserve">This Purchase Order is a binding commercial document issued in accordance with Dutch trade regulations. The Doctor General Practitioner named herein is registered with the Dutch Medical Council (Orde van Artsen) and operates in full compliance with the regulations of the Netherlands Amsterdam municipal health authority. All medical supplies procured under this Purchase Order are intended exclusively for use in a registered general practice in Netherlands Amsterdam. This document is valid for a period of thirty (30) days from the date of issue. For any queries regarding this Purchase Order, please contact the buyer's administrative office at the Netherlands Amsterdam address listed above.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Doctor General Practitioner - Netherlands Amsterdam</dc:title>
  <dc:creator/>
  <dc:language>en</dc:language>
  <cp:keywords/>
  <dcterms:created xsi:type="dcterms:W3CDTF">2026-10-10T06:53:22Z</dcterms:created>
  <dcterms:modified xsi:type="dcterms:W3CDTF">2026-10-10T06:53:22Z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