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rPr>
          <w:bCs/>
          <w:b/>
        </w:rPr>
        <w:t xml:space="preserve">Auckland Medical Supply Co. Ltd.</w:t>
      </w:r>
    </w:p>
    <w:p>
      <w:pPr>
        <w:pStyle w:val="BodyText"/>
      </w:pPr>
      <w:r>
        <w:t xml:space="preserve">142 Federal Street, Ponsonby, Auckland 1011, New Zealand</w:t>
      </w:r>
    </w:p>
    <w:p>
      <w:pPr>
        <w:pStyle w:val="BodyText"/>
      </w:pPr>
      <w:r>
        <w:t xml:space="preserve">Phone: +64 9 379 4420 | Email: orders@aucklandmedsupply.co.nz</w:t>
      </w:r>
    </w:p>
    <w:p>
      <w:pPr>
        <w:pStyle w:val="BodyText"/>
      </w:pPr>
      <w:r>
        <w:t xml:space="preserve">NZBN: 942904123456789 | GST No: 123-456-789</w:t>
      </w:r>
    </w:p>
    <w:bookmarkEnd w:id="20"/>
    <w:p>
      <w:pPr>
        <w:pStyle w:val="BodyText"/>
      </w:pPr>
      <w:r>
        <w:rPr>
          <w:bCs/>
          <w:b/>
        </w:rPr>
        <w:t xml:space="preserve">Purchase Order No.:</w:t>
      </w:r>
      <w:r>
        <w:t xml:space="preserve"> </w:t>
      </w:r>
      <w:r>
        <w:t xml:space="preserve">PO-AKL-2025-04872</w:t>
      </w:r>
      <w:r>
        <w:br/>
      </w:r>
      <w:r>
        <w:rPr>
          <w:bCs/>
          <w:b/>
        </w:rPr>
        <w:t xml:space="preserve">Date of Issue:</w:t>
      </w:r>
      <w:r>
        <w:t xml:space="preserve"> </w:t>
      </w:r>
      <w:r>
        <w:t xml:space="preserve">14 June 2025</w:t>
      </w:r>
      <w:r>
        <w:br/>
      </w: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w:t>
      </w:r>
      <w:r>
        <w:br/>
      </w:r>
      <w:r>
        <w:rPr>
          <w:bCs/>
          <w:b/>
        </w:rPr>
        <w:t xml:space="preserve">Delivery Method:</w:t>
      </w:r>
      <w:r>
        <w:t xml:space="preserve"> </w:t>
      </w:r>
      <w:r>
        <w:t xml:space="preserve">Freight Collect</w:t>
      </w:r>
      <w:r>
        <w:br/>
      </w:r>
      <w:r>
        <w:rPr>
          <w:bCs/>
          <w:b/>
        </w:rPr>
        <w:t xml:space="preserve">Incoterms:</w:t>
      </w:r>
      <w:r>
        <w:t xml:space="preserve"> </w:t>
      </w:r>
      <w:r>
        <w:t xml:space="preserve">DAP Auckland</w:t>
      </w:r>
    </w:p>
    <w:p>
      <w:pPr>
        <w:pStyle w:val="BodyText"/>
      </w:pPr>
      <w:r>
        <w:rPr>
          <w:bCs/>
          <w:b/>
        </w:rPr>
        <w:t xml:space="preserve">Prepared By:</w:t>
      </w:r>
      <w:r>
        <w:t xml:space="preserve"> </w:t>
      </w:r>
      <w:r>
        <w:t xml:space="preserve">Sarah Mitchell, Procurement Officer</w:t>
      </w:r>
      <w:r>
        <w:br/>
      </w:r>
      <w:r>
        <w:rPr>
          <w:bCs/>
          <w:b/>
        </w:rPr>
        <w:t xml:space="preserve">Department:</w:t>
      </w:r>
      <w:r>
        <w:t xml:space="preserve"> </w:t>
      </w:r>
      <w:r>
        <w:t xml:space="preserve">Clinical Supply &amp; Equipment</w:t>
      </w:r>
      <w:r>
        <w:br/>
      </w:r>
      <w:r>
        <w:rPr>
          <w:bCs/>
          <w:b/>
        </w:rPr>
        <w:t xml:space="preserve">Priority:</w:t>
      </w:r>
      <w:r>
        <w:t xml:space="preserve"> </w:t>
      </w:r>
      <w:r>
        <w:t xml:space="preserve">Standard</w:t>
      </w:r>
    </w:p>
    <w:p>
      <w:pPr>
        <w:pStyle w:val="BodyText"/>
      </w:pPr>
      <w:r>
        <w:t xml:space="preserve">SUPPLIER / RECIPIENT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Practice Name</w:t>
            </w:r>
          </w:p>
        </w:tc>
        <w:tc>
          <w:tcPr/>
          <w:p>
            <w:pPr>
              <w:pStyle w:val="Compact"/>
              <w:jc w:val="left"/>
            </w:pPr>
            <w:r>
              <w:t xml:space="preserve">Dr. James T. Whitmore – Doctor General Practitioner, Whitmore Family Medical Centre</w:t>
            </w:r>
          </w:p>
        </w:tc>
      </w:tr>
      <w:tr>
        <w:tc>
          <w:tcPr/>
          <w:p>
            <w:pPr>
              <w:pStyle w:val="Compact"/>
              <w:jc w:val="left"/>
            </w:pPr>
            <w:r>
              <w:rPr>
                <w:bCs/>
                <w:b/>
              </w:rPr>
              <w:t xml:space="preserve">Address</w:t>
            </w:r>
          </w:p>
        </w:tc>
        <w:tc>
          <w:tcPr/>
          <w:p>
            <w:pPr>
              <w:pStyle w:val="Compact"/>
              <w:jc w:val="left"/>
            </w:pPr>
            <w:r>
              <w:t xml:space="preserve">87 Karangahape Road, Mount Eden, Auckland 1024, New Zealand</w:t>
            </w:r>
          </w:p>
        </w:tc>
      </w:tr>
      <w:tr>
        <w:tc>
          <w:tcPr/>
          <w:p>
            <w:pPr>
              <w:pStyle w:val="Compact"/>
              <w:jc w:val="left"/>
            </w:pPr>
            <w:r>
              <w:rPr>
                <w:bCs/>
                <w:b/>
              </w:rPr>
              <w:t xml:space="preserve">Phone</w:t>
            </w:r>
          </w:p>
        </w:tc>
        <w:tc>
          <w:tcPr/>
          <w:p>
            <w:pPr>
              <w:pStyle w:val="Compact"/>
              <w:jc w:val="left"/>
            </w:pPr>
            <w:r>
              <w:t xml:space="preserve">+64 9 525 7731</w:t>
            </w:r>
          </w:p>
        </w:tc>
      </w:tr>
      <w:tr>
        <w:tc>
          <w:tcPr/>
          <w:p>
            <w:pPr>
              <w:pStyle w:val="Compact"/>
              <w:jc w:val="left"/>
            </w:pPr>
            <w:r>
              <w:rPr>
                <w:bCs/>
                <w:b/>
              </w:rPr>
              <w:t xml:space="preserve">Email</w:t>
            </w:r>
          </w:p>
        </w:tc>
        <w:tc>
          <w:tcPr/>
          <w:p>
            <w:pPr>
              <w:pStyle w:val="Compact"/>
              <w:jc w:val="left"/>
            </w:pPr>
            <w:r>
              <w:t xml:space="preserve">admin@whitmoregp.co.nz</w:t>
            </w:r>
          </w:p>
        </w:tc>
      </w:tr>
      <w:tr>
        <w:tc>
          <w:tcPr/>
          <w:p>
            <w:pPr>
              <w:pStyle w:val="Compact"/>
              <w:jc w:val="left"/>
            </w:pPr>
            <w:r>
              <w:rPr>
                <w:bCs/>
                <w:b/>
              </w:rPr>
              <w:t xml:space="preserve">Medical Council Reg. No.</w:t>
            </w:r>
          </w:p>
        </w:tc>
        <w:tc>
          <w:tcPr/>
          <w:p>
            <w:pPr>
              <w:pStyle w:val="Compact"/>
              <w:jc w:val="left"/>
            </w:pPr>
            <w:r>
              <w:t xml:space="preserve">MCNZ-2019-44821 (Registered Doctor General Practitioner, New Zealand)</w:t>
            </w:r>
          </w:p>
        </w:tc>
      </w:tr>
      <w:tr>
        <w:tc>
          <w:tcPr/>
          <w:p>
            <w:pPr>
              <w:pStyle w:val="Compact"/>
              <w:jc w:val="left"/>
            </w:pPr>
            <w:r>
              <w:rPr>
                <w:bCs/>
                <w:b/>
              </w:rPr>
              <w:t xml:space="preserve">Practice GST No.</w:t>
            </w:r>
          </w:p>
        </w:tc>
        <w:tc>
          <w:tcPr/>
          <w:p>
            <w:pPr>
              <w:pStyle w:val="Compact"/>
              <w:jc w:val="left"/>
            </w:pPr>
            <w:r>
              <w:t xml:space="preserve">987-654-321</w:t>
            </w:r>
          </w:p>
        </w:tc>
      </w:tr>
      <w:tr>
        <w:tc>
          <w:tcPr/>
          <w:p>
            <w:pPr>
              <w:pStyle w:val="Compact"/>
              <w:jc w:val="left"/>
            </w:pPr>
            <w:r>
              <w:rPr>
                <w:bCs/>
                <w:b/>
              </w:rPr>
              <w:t xml:space="preserve">Delivery Contact</w:t>
            </w:r>
          </w:p>
        </w:tc>
        <w:tc>
          <w:tcPr/>
          <w:p>
            <w:pPr>
              <w:pStyle w:val="Compact"/>
              <w:jc w:val="left"/>
            </w:pPr>
            <w:r>
              <w:t xml:space="preserve">Dr. James T. Whitmore, Doctor General Practitioner – Receiving Bay, Ground Floor</w:t>
            </w:r>
          </w:p>
        </w:tc>
      </w:tr>
    </w:tbl>
    <w:p>
      <w:pPr>
        <w:pStyle w:val="BodyText"/>
      </w:pPr>
      <w:r>
        <w:t xml:space="preserve">LINE ITEMS – MEDICAL SUPPLIES &amp;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Line Total (NZD)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Digital Blood Pressure Monitor (Omron HBP-1120), calibrated for clinical use by Doctor General Practitioner</w:t>
            </w:r>
          </w:p>
        </w:tc>
        <w:tc>
          <w:tcPr/>
          <w:p>
            <w:pPr>
              <w:pStyle w:val="Compact"/>
              <w:jc w:val="left"/>
            </w:pPr>
            <w:r>
              <w:t xml:space="preserve">AMB-1120</w:t>
            </w:r>
          </w:p>
        </w:tc>
        <w:tc>
          <w:tcPr/>
          <w:p>
            <w:pPr>
              <w:pStyle w:val="Compact"/>
              <w:jc w:val="left"/>
            </w:pPr>
            <w:r>
              <w:t xml:space="preserve">12</w:t>
            </w:r>
          </w:p>
        </w:tc>
        <w:tc>
          <w:tcPr/>
          <w:p>
            <w:pPr>
              <w:pStyle w:val="Compact"/>
              <w:jc w:val="left"/>
            </w:pPr>
            <w:r>
              <w:t xml:space="preserve">189.00</w:t>
            </w:r>
          </w:p>
        </w:tc>
        <w:tc>
          <w:tcPr/>
          <w:p>
            <w:pPr>
              <w:pStyle w:val="Compact"/>
              <w:jc w:val="left"/>
            </w:pPr>
            <w:r>
              <w:t xml:space="preserve">2,268.00</w:t>
            </w:r>
          </w:p>
        </w:tc>
        <w:tc>
          <w:tcPr/>
          <w:p>
            <w:pPr>
              <w:pStyle w:val="Compact"/>
              <w:jc w:val="left"/>
            </w:pPr>
            <w:r>
              <w:t xml:space="preserve">For consultation rooms 1–6</w:t>
            </w:r>
          </w:p>
        </w:tc>
      </w:tr>
      <w:tr>
        <w:tc>
          <w:tcPr/>
          <w:p>
            <w:pPr>
              <w:pStyle w:val="Compact"/>
              <w:jc w:val="left"/>
            </w:pPr>
            <w:r>
              <w:t xml:space="preserve">2</w:t>
            </w:r>
          </w:p>
        </w:tc>
        <w:tc>
          <w:tcPr/>
          <w:p>
            <w:pPr>
              <w:pStyle w:val="Compact"/>
              <w:jc w:val="left"/>
            </w:pPr>
            <w:r>
              <w:t xml:space="preserve">Disposable Nitrile Examination Gloves, Medium, Box of 100 (AQL 1.5, ISO 13485)</w:t>
            </w:r>
          </w:p>
        </w:tc>
        <w:tc>
          <w:tcPr/>
          <w:p>
            <w:pPr>
              <w:pStyle w:val="Compact"/>
              <w:jc w:val="left"/>
            </w:pPr>
            <w:r>
              <w:t xml:space="preserve">GLV-NIT-M-100</w:t>
            </w:r>
          </w:p>
        </w:tc>
        <w:tc>
          <w:tcPr/>
          <w:p>
            <w:pPr>
              <w:pStyle w:val="Compact"/>
              <w:jc w:val="left"/>
            </w:pPr>
            <w:r>
              <w:t xml:space="preserve">200</w:t>
            </w:r>
          </w:p>
        </w:tc>
        <w:tc>
          <w:tcPr/>
          <w:p>
            <w:pPr>
              <w:pStyle w:val="Compact"/>
              <w:jc w:val="left"/>
            </w:pPr>
            <w:r>
              <w:t xml:space="preserve">14.50</w:t>
            </w:r>
          </w:p>
        </w:tc>
        <w:tc>
          <w:tcPr/>
          <w:p>
            <w:pPr>
              <w:pStyle w:val="Compact"/>
              <w:jc w:val="left"/>
            </w:pPr>
            <w:r>
              <w:t xml:space="preserve">2,900.00</w:t>
            </w:r>
          </w:p>
        </w:tc>
        <w:tc>
          <w:tcPr/>
          <w:p>
            <w:pPr>
              <w:pStyle w:val="Compact"/>
              <w:jc w:val="left"/>
            </w:pPr>
            <w:r>
              <w:t xml:space="preserve">6-month supply for practice</w:t>
            </w:r>
          </w:p>
        </w:tc>
      </w:tr>
      <w:tr>
        <w:tc>
          <w:tcPr/>
          <w:p>
            <w:pPr>
              <w:pStyle w:val="Compact"/>
              <w:jc w:val="left"/>
            </w:pPr>
            <w:r>
              <w:t xml:space="preserve">3</w:t>
            </w:r>
          </w:p>
        </w:tc>
        <w:tc>
          <w:tcPr/>
          <w:p>
            <w:pPr>
              <w:pStyle w:val="Compact"/>
              <w:jc w:val="left"/>
            </w:pPr>
            <w:r>
              <w:t xml:space="preserve">Electronic Thermometer, Infrared Forehead Type (Braun ThermoScan 7)</w:t>
            </w:r>
          </w:p>
        </w:tc>
        <w:tc>
          <w:tcPr/>
          <w:p>
            <w:pPr>
              <w:pStyle w:val="Compact"/>
              <w:jc w:val="left"/>
            </w:pPr>
            <w:r>
              <w:t xml:space="preserve">THM-BR-7</w:t>
            </w:r>
          </w:p>
        </w:tc>
        <w:tc>
          <w:tcPr/>
          <w:p>
            <w:pPr>
              <w:pStyle w:val="Compact"/>
              <w:jc w:val="left"/>
            </w:pPr>
            <w:r>
              <w:t xml:space="preserve">8</w:t>
            </w:r>
          </w:p>
        </w:tc>
        <w:tc>
          <w:tcPr/>
          <w:p>
            <w:pPr>
              <w:pStyle w:val="Compact"/>
              <w:jc w:val="left"/>
            </w:pPr>
            <w:r>
              <w:t xml:space="preserve">95.00</w:t>
            </w:r>
          </w:p>
        </w:tc>
        <w:tc>
          <w:tcPr/>
          <w:p>
            <w:pPr>
              <w:pStyle w:val="Compact"/>
              <w:jc w:val="left"/>
            </w:pPr>
            <w:r>
              <w:t xml:space="preserve">760.00</w:t>
            </w:r>
          </w:p>
        </w:tc>
        <w:tc>
          <w:tcPr/>
          <w:p>
            <w:pPr>
              <w:pStyle w:val="Compact"/>
              <w:jc w:val="left"/>
            </w:pPr>
            <w:r>
              <w:t xml:space="preserve">Paediatric and adult use</w:t>
            </w:r>
          </w:p>
        </w:tc>
      </w:tr>
      <w:tr>
        <w:tc>
          <w:tcPr/>
          <w:p>
            <w:pPr>
              <w:pStyle w:val="Compact"/>
              <w:jc w:val="left"/>
            </w:pPr>
            <w:r>
              <w:t xml:space="preserve">4</w:t>
            </w:r>
          </w:p>
        </w:tc>
        <w:tc>
          <w:tcPr/>
          <w:p>
            <w:pPr>
              <w:pStyle w:val="Compact"/>
              <w:jc w:val="left"/>
            </w:pPr>
            <w:r>
              <w:t xml:space="preserve">Stethoscope, Littmann Classic III, Dual Head (for Doctor General Practitioner consultations)</w:t>
            </w:r>
          </w:p>
        </w:tc>
        <w:tc>
          <w:tcPr/>
          <w:p>
            <w:pPr>
              <w:pStyle w:val="Compact"/>
              <w:jc w:val="left"/>
            </w:pPr>
            <w:r>
              <w:t xml:space="preserve">STH-LC3-BLK</w:t>
            </w:r>
          </w:p>
        </w:tc>
        <w:tc>
          <w:tcPr/>
          <w:p>
            <w:pPr>
              <w:pStyle w:val="Compact"/>
              <w:jc w:val="left"/>
            </w:pPr>
            <w:r>
              <w:t xml:space="preserve">6</w:t>
            </w:r>
          </w:p>
        </w:tc>
        <w:tc>
          <w:tcPr/>
          <w:p>
            <w:pPr>
              <w:pStyle w:val="Compact"/>
              <w:jc w:val="left"/>
            </w:pPr>
            <w:r>
              <w:t xml:space="preserve">142.00</w:t>
            </w:r>
          </w:p>
        </w:tc>
        <w:tc>
          <w:tcPr/>
          <w:p>
            <w:pPr>
              <w:pStyle w:val="Compact"/>
              <w:jc w:val="left"/>
            </w:pPr>
            <w:r>
              <w:t xml:space="preserve">852.00</w:t>
            </w:r>
          </w:p>
        </w:tc>
        <w:tc>
          <w:tcPr/>
          <w:p>
            <w:pPr>
              <w:pStyle w:val="Compact"/>
              <w:jc w:val="left"/>
            </w:pPr>
            <w:r>
              <w:t xml:space="preserve">Replacement for worn units</w:t>
            </w:r>
          </w:p>
        </w:tc>
      </w:tr>
      <w:tr>
        <w:tc>
          <w:tcPr/>
          <w:p>
            <w:pPr>
              <w:pStyle w:val="Compact"/>
              <w:jc w:val="left"/>
            </w:pPr>
            <w:r>
              <w:t xml:space="preserve">5</w:t>
            </w:r>
          </w:p>
        </w:tc>
        <w:tc>
          <w:tcPr/>
          <w:p>
            <w:pPr>
              <w:pStyle w:val="Compact"/>
              <w:jc w:val="left"/>
            </w:pPr>
            <w:r>
              <w:t xml:space="preserve">Autoclave Sterilisation Cycles – 100-pack of sterilisation pouches (150mm x 300mm)</w:t>
            </w:r>
          </w:p>
        </w:tc>
        <w:tc>
          <w:tcPr/>
          <w:p>
            <w:pPr>
              <w:pStyle w:val="Compact"/>
              <w:jc w:val="left"/>
            </w:pPr>
            <w:r>
              <w:t xml:space="preserve">STL-PCH-150</w:t>
            </w:r>
          </w:p>
        </w:tc>
        <w:tc>
          <w:tcPr/>
          <w:p>
            <w:pPr>
              <w:pStyle w:val="Compact"/>
              <w:jc w:val="left"/>
            </w:pPr>
            <w:r>
              <w:t xml:space="preserve">50</w:t>
            </w:r>
          </w:p>
        </w:tc>
        <w:tc>
          <w:tcPr/>
          <w:p>
            <w:pPr>
              <w:pStyle w:val="Compact"/>
              <w:jc w:val="left"/>
            </w:pPr>
            <w:r>
              <w:t xml:space="preserve">38.00</w:t>
            </w:r>
          </w:p>
        </w:tc>
        <w:tc>
          <w:tcPr/>
          <w:p>
            <w:pPr>
              <w:pStyle w:val="Compact"/>
              <w:jc w:val="left"/>
            </w:pPr>
            <w:r>
              <w:t xml:space="preserve">1,900.00</w:t>
            </w:r>
          </w:p>
        </w:tc>
        <w:tc>
          <w:tcPr/>
          <w:p>
            <w:pPr>
              <w:pStyle w:val="Compact"/>
              <w:jc w:val="left"/>
            </w:pPr>
            <w:r>
              <w:t xml:space="preserve">For minor procedure room</w:t>
            </w:r>
          </w:p>
        </w:tc>
      </w:tr>
      <w:tr>
        <w:tc>
          <w:tcPr/>
          <w:p>
            <w:pPr>
              <w:pStyle w:val="Compact"/>
              <w:jc w:val="left"/>
            </w:pPr>
            <w:r>
              <w:t xml:space="preserve">6</w:t>
            </w:r>
          </w:p>
        </w:tc>
        <w:tc>
          <w:tcPr/>
          <w:p>
            <w:pPr>
              <w:pStyle w:val="Compact"/>
              <w:jc w:val="left"/>
            </w:pPr>
            <w:r>
              <w:t xml:space="preserve">First Aid Kit, Workplace Standard (AS/NZS 4801:2023 compliant), Wall-Mounted</w:t>
            </w:r>
          </w:p>
        </w:tc>
        <w:tc>
          <w:tcPr/>
          <w:p>
            <w:pPr>
              <w:pStyle w:val="Compact"/>
              <w:jc w:val="left"/>
            </w:pPr>
            <w:r>
              <w:t xml:space="preserve">FAK-WM-STD</w:t>
            </w:r>
          </w:p>
        </w:tc>
        <w:tc>
          <w:tcPr/>
          <w:p>
            <w:pPr>
              <w:pStyle w:val="Compact"/>
              <w:jc w:val="left"/>
            </w:pPr>
            <w:r>
              <w:t xml:space="preserve">4</w:t>
            </w:r>
          </w:p>
        </w:tc>
        <w:tc>
          <w:tcPr/>
          <w:p>
            <w:pPr>
              <w:pStyle w:val="Compact"/>
              <w:jc w:val="left"/>
            </w:pPr>
            <w:r>
              <w:t xml:space="preserve">215.00</w:t>
            </w:r>
          </w:p>
        </w:tc>
        <w:tc>
          <w:tcPr/>
          <w:p>
            <w:pPr>
              <w:pStyle w:val="Compact"/>
              <w:jc w:val="left"/>
            </w:pPr>
            <w:r>
              <w:t xml:space="preserve">860.00</w:t>
            </w:r>
          </w:p>
        </w:tc>
        <w:tc>
          <w:tcPr/>
          <w:p>
            <w:pPr>
              <w:pStyle w:val="Compact"/>
              <w:jc w:val="left"/>
            </w:pPr>
            <w:r>
              <w:t xml:space="preserve">One per floor, reception, and procedure room</w:t>
            </w:r>
          </w:p>
        </w:tc>
      </w:tr>
      <w:tr>
        <w:tc>
          <w:tcPr/>
          <w:p>
            <w:pPr>
              <w:pStyle w:val="Compact"/>
              <w:jc w:val="left"/>
            </w:pPr>
            <w:r>
              <w:t xml:space="preserve">7</w:t>
            </w:r>
          </w:p>
        </w:tc>
        <w:tc>
          <w:tcPr/>
          <w:p>
            <w:pPr>
              <w:pStyle w:val="Compact"/>
              <w:jc w:val="left"/>
            </w:pPr>
            <w:r>
              <w:t xml:space="preserve">ECG Paper Roll, 12-lead, 250mm width, 100m length (for Doctor General Practitioner cardiac screening)</w:t>
            </w:r>
          </w:p>
        </w:tc>
        <w:tc>
          <w:tcPr/>
          <w:p>
            <w:pPr>
              <w:pStyle w:val="Compact"/>
              <w:jc w:val="left"/>
            </w:pPr>
            <w:r>
              <w:t xml:space="preserve">ECG-PAP-250</w:t>
            </w:r>
          </w:p>
        </w:tc>
        <w:tc>
          <w:tcPr/>
          <w:p>
            <w:pPr>
              <w:pStyle w:val="Compact"/>
              <w:jc w:val="left"/>
            </w:pPr>
            <w:r>
              <w:t xml:space="preserve">30</w:t>
            </w:r>
          </w:p>
        </w:tc>
        <w:tc>
          <w:tcPr/>
          <w:p>
            <w:pPr>
              <w:pStyle w:val="Compact"/>
              <w:jc w:val="left"/>
            </w:pPr>
            <w:r>
              <w:t xml:space="preserve">22.00</w:t>
            </w:r>
          </w:p>
        </w:tc>
        <w:tc>
          <w:tcPr/>
          <w:p>
            <w:pPr>
              <w:pStyle w:val="Compact"/>
              <w:jc w:val="left"/>
            </w:pPr>
            <w:r>
              <w:t xml:space="preserve">660.00</w:t>
            </w:r>
          </w:p>
        </w:tc>
        <w:tc>
          <w:tcPr/>
          <w:p>
            <w:pPr>
              <w:pStyle w:val="Compact"/>
              <w:jc w:val="left"/>
            </w:pPr>
            <w:r>
              <w:t xml:space="preserve">Quarterly supply</w:t>
            </w:r>
          </w:p>
        </w:tc>
      </w:tr>
      <w:tr>
        <w:tc>
          <w:tcPr/>
          <w:p>
            <w:pPr>
              <w:pStyle w:val="Compact"/>
              <w:jc w:val="left"/>
            </w:pPr>
            <w:r>
              <w:t xml:space="preserve">8</w:t>
            </w:r>
          </w:p>
        </w:tc>
        <w:tc>
          <w:tcPr/>
          <w:p>
            <w:pPr>
              <w:pStyle w:val="Compact"/>
              <w:jc w:val="left"/>
            </w:pPr>
            <w:r>
              <w:t xml:space="preserve">Hand Sanitiser, 500ml Pump Bottle (70% Ethanol, WHO-recommended formulation)</w:t>
            </w:r>
          </w:p>
        </w:tc>
        <w:tc>
          <w:tcPr/>
          <w:p>
            <w:pPr>
              <w:pStyle w:val="Compact"/>
              <w:jc w:val="left"/>
            </w:pPr>
            <w:r>
              <w:t xml:space="preserve">HSN-500-70</w:t>
            </w:r>
          </w:p>
        </w:tc>
        <w:tc>
          <w:tcPr/>
          <w:p>
            <w:pPr>
              <w:pStyle w:val="Compact"/>
              <w:jc w:val="left"/>
            </w:pPr>
            <w:r>
              <w:t xml:space="preserve">120</w:t>
            </w:r>
          </w:p>
        </w:tc>
        <w:tc>
          <w:tcPr/>
          <w:p>
            <w:pPr>
              <w:pStyle w:val="Compact"/>
              <w:jc w:val="left"/>
            </w:pPr>
            <w:r>
              <w:t xml:space="preserve">8.90</w:t>
            </w:r>
          </w:p>
        </w:tc>
        <w:tc>
          <w:tcPr/>
          <w:p>
            <w:pPr>
              <w:pStyle w:val="Compact"/>
              <w:jc w:val="left"/>
            </w:pPr>
            <w:r>
              <w:t xml:space="preserve">1,068.00</w:t>
            </w:r>
          </w:p>
        </w:tc>
        <w:tc>
          <w:tcPr/>
          <w:p>
            <w:pPr>
              <w:pStyle w:val="Compact"/>
              <w:jc w:val="left"/>
            </w:pPr>
            <w:r>
              <w:t xml:space="preserve">All patient-facing areas</w:t>
            </w:r>
          </w:p>
        </w:tc>
      </w:tr>
      <w:tr>
        <w:tc>
          <w:tcPr/>
          <w:p>
            <w:pPr>
              <w:pStyle w:val="Compact"/>
              <w:jc w:val="left"/>
            </w:pPr>
            <w:r>
              <w:t xml:space="preserve">9</w:t>
            </w:r>
          </w:p>
        </w:tc>
        <w:tc>
          <w:tcPr/>
          <w:p>
            <w:pPr>
              <w:pStyle w:val="Compact"/>
              <w:jc w:val="left"/>
            </w:pPr>
            <w:r>
              <w:t xml:space="preserve">Sharps Disposal Container, 5L, Puncture-Resistant, with Biohazard Label (Auckland DHB compliant)</w:t>
            </w:r>
          </w:p>
        </w:tc>
        <w:tc>
          <w:tcPr/>
          <w:p>
            <w:pPr>
              <w:pStyle w:val="Compact"/>
              <w:jc w:val="left"/>
            </w:pPr>
            <w:r>
              <w:t xml:space="preserve">SHR-5L-BH</w:t>
            </w:r>
          </w:p>
        </w:tc>
        <w:tc>
          <w:tcPr/>
          <w:p>
            <w:pPr>
              <w:pStyle w:val="Compact"/>
              <w:jc w:val="left"/>
            </w:pPr>
            <w:r>
              <w:t xml:space="preserve">10</w:t>
            </w:r>
          </w:p>
        </w:tc>
        <w:tc>
          <w:tcPr/>
          <w:p>
            <w:pPr>
              <w:pStyle w:val="Compact"/>
              <w:jc w:val="left"/>
            </w:pPr>
            <w:r>
              <w:t xml:space="preserve">34.00</w:t>
            </w:r>
          </w:p>
        </w:tc>
        <w:tc>
          <w:tcPr/>
          <w:p>
            <w:pPr>
              <w:pStyle w:val="Compact"/>
              <w:jc w:val="left"/>
            </w:pPr>
            <w:r>
              <w:t xml:space="preserve">340.00</w:t>
            </w:r>
          </w:p>
        </w:tc>
        <w:tc>
          <w:tcPr/>
          <w:p>
            <w:pPr>
              <w:pStyle w:val="Compact"/>
              <w:jc w:val="left"/>
            </w:pPr>
            <w:r>
              <w:t xml:space="preserve">Per consultation room and procedure area</w:t>
            </w:r>
          </w:p>
        </w:tc>
      </w:tr>
      <w:tr>
        <w:tc>
          <w:tcPr/>
          <w:p>
            <w:pPr>
              <w:pStyle w:val="Compact"/>
              <w:jc w:val="left"/>
            </w:pPr>
            <w:r>
              <w:t xml:space="preserve">10</w:t>
            </w:r>
          </w:p>
        </w:tc>
        <w:tc>
          <w:tcPr/>
          <w:p>
            <w:pPr>
              <w:pStyle w:val="Compact"/>
              <w:jc w:val="left"/>
            </w:pPr>
            <w:r>
              <w:t xml:space="preserve">Patient Examination Table Paper Roll, 60cm width, 50m length</w:t>
            </w:r>
          </w:p>
        </w:tc>
        <w:tc>
          <w:tcPr/>
          <w:p>
            <w:pPr>
              <w:pStyle w:val="Compact"/>
              <w:jc w:val="left"/>
            </w:pPr>
            <w:r>
              <w:t xml:space="preserve">PTB-60-50</w:t>
            </w:r>
          </w:p>
        </w:tc>
        <w:tc>
          <w:tcPr/>
          <w:p>
            <w:pPr>
              <w:pStyle w:val="Compact"/>
              <w:jc w:val="left"/>
            </w:pPr>
            <w:r>
              <w:t xml:space="preserve">40</w:t>
            </w:r>
          </w:p>
        </w:tc>
        <w:tc>
          <w:tcPr/>
          <w:p>
            <w:pPr>
              <w:pStyle w:val="Compact"/>
              <w:jc w:val="left"/>
            </w:pPr>
            <w:r>
              <w:t xml:space="preserve">12.50</w:t>
            </w:r>
          </w:p>
        </w:tc>
        <w:tc>
          <w:tcPr/>
          <w:p>
            <w:pPr>
              <w:pStyle w:val="Compact"/>
              <w:jc w:val="left"/>
            </w:pPr>
            <w:r>
              <w:t xml:space="preserve">500.00</w:t>
            </w:r>
          </w:p>
        </w:tc>
        <w:tc>
          <w:tcPr/>
          <w:p>
            <w:pPr>
              <w:pStyle w:val="Compact"/>
              <w:jc w:val="left"/>
            </w:pPr>
            <w:r>
              <w:t xml:space="preserve">Monthly consumable</w:t>
            </w:r>
          </w:p>
        </w:tc>
      </w:tr>
    </w:tbl>
    <w:p/>
    <w:tbl>
      <w:tblPr>
        <w:tblStyle w:val="Table"/>
        <w:tblW w:type="auto" w:w="0"/>
        <w:tblLook w:firstRow="0" w:lastRow="0" w:firstColumn="0" w:lastColumn="0" w:noHBand="0" w:noVBand="0" w:val="0000"/>
      </w:tblPr>
      <w:tblGrid>
        <w:gridCol w:w="2640"/>
        <w:gridCol w:w="2640"/>
        <w:gridCol w:w="2640"/>
      </w:tblGrid>
      <w:tr>
        <w:tc>
          <w:tcPr/>
          <w:p>
            <w:pPr>
              <w:pStyle w:val="Compact"/>
            </w:pPr>
          </w:p>
        </w:tc>
        <w:tc>
          <w:tcPr/>
          <w:p>
            <w:pPr>
              <w:pStyle w:val="Compact"/>
              <w:jc w:val="right"/>
            </w:pPr>
            <w:r>
              <w:rPr>
                <w:bCs/>
                <w:b/>
              </w:rPr>
              <w:t xml:space="preserve">Subtotal (NZD):</w:t>
            </w:r>
          </w:p>
        </w:tc>
        <w:tc>
          <w:tcPr/>
          <w:p>
            <w:pPr>
              <w:pStyle w:val="Compact"/>
              <w:jc w:val="right"/>
            </w:pPr>
            <w:r>
              <w:t xml:space="preserve">12,108.00</w:t>
            </w:r>
          </w:p>
        </w:tc>
      </w:tr>
      <w:tr>
        <w:tc>
          <w:tcPr/>
          <w:p>
            <w:pPr>
              <w:pStyle w:val="Compact"/>
            </w:pPr>
          </w:p>
        </w:tc>
        <w:tc>
          <w:tcPr/>
          <w:p>
            <w:pPr>
              <w:pStyle w:val="Compact"/>
              <w:jc w:val="right"/>
            </w:pPr>
            <w:r>
              <w:rPr>
                <w:bCs/>
                <w:b/>
              </w:rPr>
              <w:t xml:space="preserve">GST (15%):</w:t>
            </w:r>
          </w:p>
        </w:tc>
        <w:tc>
          <w:tcPr/>
          <w:p>
            <w:pPr>
              <w:pStyle w:val="Compact"/>
              <w:jc w:val="right"/>
            </w:pPr>
            <w:r>
              <w:t xml:space="preserve">1,816.20</w:t>
            </w:r>
          </w:p>
        </w:tc>
      </w:tr>
      <w:tr>
        <w:tc>
          <w:tcPr/>
          <w:p>
            <w:pPr>
              <w:pStyle w:val="Compact"/>
            </w:pPr>
          </w:p>
        </w:tc>
        <w:tc>
          <w:tcPr/>
          <w:p>
            <w:pPr>
              <w:pStyle w:val="Compact"/>
              <w:jc w:val="right"/>
            </w:pPr>
            <w:r>
              <w:rPr>
                <w:bCs/>
                <w:b/>
              </w:rPr>
              <w:t xml:space="preserve">TOTAL AMOUNT DUE (NZD):</w:t>
            </w:r>
          </w:p>
        </w:tc>
        <w:tc>
          <w:tcPr/>
          <w:p>
            <w:pPr>
              <w:pStyle w:val="Compact"/>
              <w:jc w:val="right"/>
            </w:pPr>
            <w:r>
              <w:t xml:space="preserve">13,924.20</w:t>
            </w:r>
          </w:p>
        </w:tc>
      </w:tr>
    </w:tbl>
    <w:p>
      <w:pPr>
        <w:pStyle w:val="BodyText"/>
      </w:pPr>
      <w:r>
        <w:rPr>
          <w:bCs/>
          <w:b/>
        </w:rPr>
        <w:t xml:space="preserve">Important Note:</w:t>
      </w:r>
      <w:r>
        <w:t xml:space="preserve"> </w:t>
      </w:r>
      <w:r>
        <w:t xml:space="preserve">All items listed in this Purchase Order are intended for use at the Whitmore Family Medical Centre, operated by Dr. James T. Whitmore, a registered Doctor General Practitioner in New Zealand Auckland. All medical devices and consumables must comply with the Medical Devices Regulations 2023 (New Zealand) and must carry valid NZBN or equivalent certification prior to delivery. The Doctor General Practitioner reserves the right to inspect all goods upon arrival at the Mount Eden premises and to reject any items that do not meet the specified standards.</w:t>
      </w:r>
    </w:p>
    <w:p>
      <w:pPr>
        <w:pStyle w:val="BodyText"/>
      </w:pPr>
      <w:r>
        <w:t xml:space="preserve">TERMS AND CONDITIONS</w:t>
      </w:r>
    </w:p>
    <w:p>
      <w:pPr>
        <w:numPr>
          <w:ilvl w:val="0"/>
          <w:numId w:val="1001"/>
        </w:numPr>
        <w:pStyle w:val="Compact"/>
      </w:pPr>
      <w:r>
        <w:t xml:space="preserve">This Purchase Order constitutes a binding agreement between Auckland Medical Supply Co. Ltd. (the "Supplier") and Dr. James T. Whitmore, Doctor General Practitioner, Whitmore Family Medical Centre, Mount Eden, Auckland, New Zealand (the "Buyer") upon written acceptance by both parties.</w:t>
      </w:r>
    </w:p>
    <w:p>
      <w:pPr>
        <w:numPr>
          <w:ilvl w:val="0"/>
          <w:numId w:val="1001"/>
        </w:numPr>
        <w:pStyle w:val="Compact"/>
      </w:pPr>
      <w:r>
        <w:t xml:space="preserve">Delivery shall be made to the Buyer's practice address at 87 Karangahape Road, Mount Eden, Auckland 1024, New Zealand, between the hours of 08:00 and 16:00 on a business day, no later than 28 June 2025. The Doctor General Practitioner or an authorised practice manager must be present to sign for the delivery.</w:t>
      </w:r>
    </w:p>
    <w:p>
      <w:pPr>
        <w:numPr>
          <w:ilvl w:val="0"/>
          <w:numId w:val="1001"/>
        </w:numPr>
        <w:pStyle w:val="Compact"/>
      </w:pPr>
      <w:r>
        <w:t xml:space="preserve">Payment shall be made via bank transfer to the Supplier's designated account within thirty (30) calendar days of the date of this Purchase Order, in accordance with New Zealand commercial practice. Late payments shall attract interest at the rate of 1.5% per month as permitted under the New Zealand Consumer Guarantees Act 1993.</w:t>
      </w:r>
    </w:p>
    <w:p>
      <w:pPr>
        <w:numPr>
          <w:ilvl w:val="0"/>
          <w:numId w:val="1001"/>
        </w:numPr>
        <w:pStyle w:val="Compact"/>
      </w:pPr>
      <w:r>
        <w:t xml:space="preserve">All goods are supplied subject to the New Zealand Consumer Guarantees Act 1993 and the Fair Trading Act 1986. The Supplier warrants that all items are new, unused, and fit for the purpose of clinical use by a Doctor General Practitioner in a primary care setting in New Zealand Auckland.</w:t>
      </w:r>
    </w:p>
    <w:p>
      <w:pPr>
        <w:numPr>
          <w:ilvl w:val="0"/>
          <w:numId w:val="1001"/>
        </w:numPr>
        <w:pStyle w:val="Compact"/>
      </w:pPr>
      <w:r>
        <w:t xml:space="preserve">The Supplier shall provide a detailed tax invoice (GST-compliant) alongside the delivery. The Buyer shall not be required to make payment until a valid invoice has been received and verified by the practice's accounting officer.</w:t>
      </w:r>
    </w:p>
    <w:p>
      <w:pPr>
        <w:numPr>
          <w:ilvl w:val="0"/>
          <w:numId w:val="1001"/>
        </w:numPr>
        <w:pStyle w:val="Compact"/>
      </w:pPr>
      <w:r>
        <w:t xml:space="preserve">Any disputes arising from this Purchase Order shall be resolved in accordance with the laws of New Zealand. The parties agree to first attempt resolution through mediation under the New Zealand Dispute Resolution Service before pursuing litigation in the District Court of Auckland.</w:t>
      </w:r>
    </w:p>
    <w:p>
      <w:pPr>
        <w:numPr>
          <w:ilvl w:val="0"/>
          <w:numId w:val="1001"/>
        </w:numPr>
        <w:pStyle w:val="Compact"/>
      </w:pPr>
      <w:r>
        <w:t xml:space="preserve">This Purchase Order may be amended only by mutual written agreement signed by both the Supplier's authorised representative and the Doctor General Practitioner or their designated practice manager.</w:t>
      </w:r>
    </w:p>
    <w:p>
      <w:pPr>
        <w:numPr>
          <w:ilvl w:val="0"/>
          <w:numId w:val="1001"/>
        </w:numPr>
        <w:pStyle w:val="Compact"/>
      </w:pPr>
      <w:r>
        <w:t xml:space="preserve">The Supplier acknowledges that the Buyer is a registered Doctor General Practitioner providing primary healthcare services to the community of New Zealand Auckland and that the timely and accurate fulfilment of this order is essential to the continuity of patient care.</w:t>
      </w:r>
    </w:p>
    <w:p>
      <w:pPr>
        <w:pStyle w:val="FirstParagraph"/>
      </w:pPr>
      <w:r>
        <w:t xml:space="preserve">AUTHORISATION &amp; ACCEPTANCE</w:t>
      </w:r>
    </w:p>
    <w:p>
      <w:pPr>
        <w:pStyle w:val="BodyText"/>
      </w:pPr>
      <w:r>
        <w:rPr>
          <w:bCs/>
          <w:b/>
        </w:rPr>
        <w:t xml:space="preserve">For and on behalf of the Supplier:</w:t>
      </w:r>
    </w:p>
    <w:p>
      <w:pPr>
        <w:pStyle w:val="BodyText"/>
      </w:pPr>
      <w:r>
        <w:t xml:space="preserve">Auckland Medical Supply Co. Ltd.</w:t>
      </w:r>
    </w:p>
    <w:p>
      <w:pPr>
        <w:pStyle w:val="BodyText"/>
      </w:pPr>
      <w:r>
        <w:t xml:space="preserve">Name: Sarah Mitchell</w:t>
      </w:r>
      <w:r>
        <w:br/>
      </w:r>
      <w:r>
        <w:t xml:space="preserve">Title: Procurement Officer</w:t>
      </w:r>
      <w:r>
        <w:br/>
      </w:r>
      <w:r>
        <w:t xml:space="preserve">Date: 14 June 2025</w:t>
      </w:r>
    </w:p>
    <w:p>
      <w:pPr>
        <w:pStyle w:val="BodyText"/>
      </w:pPr>
      <w:r>
        <w:rPr>
          <w:bCs/>
          <w:b/>
        </w:rPr>
        <w:t xml:space="preserve">For and on behalf of the Buyer:</w:t>
      </w:r>
    </w:p>
    <w:p>
      <w:pPr>
        <w:pStyle w:val="BodyText"/>
      </w:pPr>
      <w:r>
        <w:t xml:space="preserve">Whitmore Family Medical Centre</w:t>
      </w:r>
      <w:r>
        <w:br/>
      </w:r>
      <w:r>
        <w:t xml:space="preserve">(Doctor General Practitioner – New Zealand Auckland)</w:t>
      </w:r>
    </w:p>
    <w:p>
      <w:pPr>
        <w:pStyle w:val="BodyText"/>
      </w:pPr>
      <w:r>
        <w:t xml:space="preserve">Name: Dr. James T. Whitmore</w:t>
      </w:r>
      <w:r>
        <w:br/>
      </w:r>
      <w:r>
        <w:t xml:space="preserve">Title: Doctor General Practitioner, Practice Owner</w:t>
      </w:r>
      <w:r>
        <w:br/>
      </w:r>
      <w:r>
        <w:t xml:space="preserve">Date: _______________</w:t>
      </w:r>
    </w:p>
    <w:p>
      <w:pPr>
        <w:pStyle w:val="BodyText"/>
      </w:pPr>
      <w:r>
        <w:t xml:space="preserve">This Purchase Order (PO-AKL-2025-04872) was issued by Auckland Medical Supply Co. Ltd. for the Doctor General Practitioner at Whitmore Family Medical Centre, New Zealand Auckland. All terms are governed by New Zealand law. For queries, contact orders@aucklandmedsupply.co.nz or +64 9 379 4420.</w:t>
      </w:r>
    </w:p>
    <w:p>
      <w:pPr>
        <w:pStyle w:val="BodyText"/>
      </w:pPr>
      <w:r>
        <w:t xml:space="preserve">Page 1 of 1 | Document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New Zealand Auckland</dc:title>
  <dc:creator/>
  <dc:language>en</dc:language>
  <cp:keywords/>
  <dcterms:created xsi:type="dcterms:W3CDTF">2026-10-10T08:10:25Z</dcterms:created>
  <dcterms:modified xsi:type="dcterms:W3CDTF">2026-10-10T08:10:25Z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