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Peru</w:t>
      </w:r>
      <w:r>
        <w:t xml:space="preserve"> </w:t>
      </w:r>
      <w:r>
        <w:t xml:space="preserve">Lima</w:t>
      </w:r>
    </w:p>
    <w:bookmarkStart w:id="20" w:name="purchase-order"/>
    <w:p>
      <w:pPr>
        <w:pStyle w:val="Heading1"/>
      </w:pPr>
      <w:r>
        <w:t xml:space="preserve">PURCHASE ORDER</w:t>
      </w:r>
    </w:p>
    <w:p>
      <w:pPr>
        <w:pStyle w:val="FirstParagraph"/>
      </w:pPr>
      <w:r>
        <w:t xml:space="preserve">Medical Services and Equipment Procurement</w:t>
      </w:r>
    </w:p>
    <w:p>
      <w:pPr>
        <w:pStyle w:val="BodyText"/>
      </w:pPr>
      <w:r>
        <w:t xml:space="preserve">PO No.: PL-2025-0847-GP</w:t>
      </w:r>
    </w:p>
    <w:p>
      <w:pPr>
        <w:pStyle w:val="BodyText"/>
      </w:pPr>
      <w:r>
        <w:t xml:space="preserve">Date of Issue: 15 June 2025</w:t>
      </w:r>
    </w:p>
    <w:p>
      <w:pPr>
        <w:pStyle w:val="BodyText"/>
      </w:pPr>
      <w:r>
        <w:t xml:space="preserve">Valid Until: 15 July 2025</w:t>
      </w:r>
    </w:p>
    <w:bookmarkEnd w:id="20"/>
    <w:bookmarkStart w:id="21" w:name="purchasing-entity-buyer"/>
    <w:p>
      <w:pPr>
        <w:pStyle w:val="Heading2"/>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p>
        </w:tc>
        <w:tc>
          <w:tcPr/>
          <w:p>
            <w:pPr>
              <w:pStyle w:val="Compact"/>
              <w:jc w:val="left"/>
            </w:pPr>
            <w:r>
              <w:t xml:space="preserve">Clinica Integral del Pacífico S.A.C.</w:t>
            </w:r>
          </w:p>
        </w:tc>
      </w:tr>
      <w:tr>
        <w:tc>
          <w:tcPr/>
          <w:p>
            <w:pPr>
              <w:pStyle w:val="Compact"/>
              <w:jc w:val="left"/>
            </w:pPr>
            <w:r>
              <w:rPr>
                <w:bCs/>
                <w:b/>
              </w:rPr>
              <w:t xml:space="preserve">RUC (Tax ID):</w:t>
            </w:r>
          </w:p>
        </w:tc>
        <w:tc>
          <w:tcPr/>
          <w:p>
            <w:pPr>
              <w:pStyle w:val="Compact"/>
              <w:jc w:val="left"/>
            </w:pPr>
            <w:r>
              <w:t xml:space="preserve">20601234567</w:t>
            </w:r>
          </w:p>
        </w:tc>
      </w:tr>
      <w:tr>
        <w:tc>
          <w:tcPr/>
          <w:p>
            <w:pPr>
              <w:pStyle w:val="Compact"/>
              <w:jc w:val="left"/>
            </w:pPr>
            <w:r>
              <w:rPr>
                <w:bCs/>
                <w:b/>
              </w:rPr>
              <w:t xml:space="preserve">Address:</w:t>
            </w:r>
          </w:p>
        </w:tc>
        <w:tc>
          <w:tcPr/>
          <w:p>
            <w:pPr>
              <w:pStyle w:val="Compact"/>
              <w:jc w:val="left"/>
            </w:pPr>
            <w:r>
              <w:t xml:space="preserve">Av. Javier Prado Este 1250, San Isidro, Peru Lima, 15078</w:t>
            </w:r>
          </w:p>
        </w:tc>
      </w:tr>
      <w:tr>
        <w:tc>
          <w:tcPr/>
          <w:p>
            <w:pPr>
              <w:pStyle w:val="Compact"/>
              <w:jc w:val="left"/>
            </w:pPr>
            <w:r>
              <w:rPr>
                <w:bCs/>
                <w:b/>
              </w:rPr>
              <w:t xml:space="preserve">Contact Person:</w:t>
            </w:r>
          </w:p>
        </w:tc>
        <w:tc>
          <w:tcPr/>
          <w:p>
            <w:pPr>
              <w:pStyle w:val="Compact"/>
              <w:jc w:val="left"/>
            </w:pPr>
            <w:r>
              <w:t xml:space="preserve">Ing. María Fernanda Quispe Rojas – Procurement Director</w:t>
            </w:r>
          </w:p>
        </w:tc>
      </w:tr>
      <w:tr>
        <w:tc>
          <w:tcPr/>
          <w:p>
            <w:pPr>
              <w:pStyle w:val="Compact"/>
              <w:jc w:val="left"/>
            </w:pPr>
            <w:r>
              <w:rPr>
                <w:bCs/>
                <w:b/>
              </w:rPr>
              <w:t xml:space="preserve">Email:</w:t>
            </w:r>
          </w:p>
        </w:tc>
        <w:tc>
          <w:tcPr/>
          <w:p>
            <w:pPr>
              <w:pStyle w:val="Compact"/>
              <w:jc w:val="left"/>
            </w:pPr>
            <w:r>
              <w:t xml:space="preserve">compras@clinicaintegral.pe</w:t>
            </w:r>
          </w:p>
        </w:tc>
      </w:tr>
      <w:tr>
        <w:tc>
          <w:tcPr/>
          <w:p>
            <w:pPr>
              <w:pStyle w:val="Compact"/>
              <w:jc w:val="left"/>
            </w:pPr>
            <w:r>
              <w:rPr>
                <w:bCs/>
                <w:b/>
              </w:rPr>
              <w:t xml:space="preserve">Phone:</w:t>
            </w:r>
          </w:p>
        </w:tc>
        <w:tc>
          <w:tcPr/>
          <w:p>
            <w:pPr>
              <w:pStyle w:val="Compact"/>
              <w:jc w:val="left"/>
            </w:pPr>
            <w:r>
              <w:t xml:space="preserve">+51 1 445-6789</w:t>
            </w:r>
          </w:p>
        </w:tc>
      </w:tr>
    </w:tbl>
    <w:bookmarkEnd w:id="21"/>
    <w:bookmarkStart w:id="22" w:name="supplier-seller"/>
    <w:p>
      <w:pPr>
        <w:pStyle w:val="Heading2"/>
      </w:pPr>
      <w:r>
        <w:t xml:space="preserve">2. Supplier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p>
        </w:tc>
        <w:tc>
          <w:tcPr/>
          <w:p>
            <w:pPr>
              <w:pStyle w:val="Compact"/>
              <w:jc w:val="left"/>
            </w:pPr>
            <w:r>
              <w:t xml:space="preserve">MedEquipos del Perú E.I.R.L.</w:t>
            </w:r>
          </w:p>
        </w:tc>
      </w:tr>
      <w:tr>
        <w:tc>
          <w:tcPr/>
          <w:p>
            <w:pPr>
              <w:pStyle w:val="Compact"/>
              <w:jc w:val="left"/>
            </w:pPr>
            <w:r>
              <w:rPr>
                <w:bCs/>
                <w:b/>
              </w:rPr>
              <w:t xml:space="preserve">RUC (Tax ID):</w:t>
            </w:r>
          </w:p>
        </w:tc>
        <w:tc>
          <w:tcPr/>
          <w:p>
            <w:pPr>
              <w:pStyle w:val="Compact"/>
              <w:jc w:val="left"/>
            </w:pPr>
            <w:r>
              <w:t xml:space="preserve">20598765432</w:t>
            </w:r>
          </w:p>
        </w:tc>
      </w:tr>
      <w:tr>
        <w:tc>
          <w:tcPr/>
          <w:p>
            <w:pPr>
              <w:pStyle w:val="Compact"/>
              <w:jc w:val="left"/>
            </w:pPr>
            <w:r>
              <w:rPr>
                <w:bCs/>
                <w:b/>
              </w:rPr>
              <w:t xml:space="preserve">Address:</w:t>
            </w:r>
          </w:p>
        </w:tc>
        <w:tc>
          <w:tcPr/>
          <w:p>
            <w:pPr>
              <w:pStyle w:val="Compact"/>
              <w:jc w:val="left"/>
            </w:pPr>
            <w:r>
              <w:t xml:space="preserve">Calle Los Pinos 456, Miraflores, Peru Lima, 15074</w:t>
            </w:r>
          </w:p>
        </w:tc>
      </w:tr>
      <w:tr>
        <w:tc>
          <w:tcPr/>
          <w:p>
            <w:pPr>
              <w:pStyle w:val="Compact"/>
              <w:jc w:val="left"/>
            </w:pPr>
            <w:r>
              <w:rPr>
                <w:bCs/>
                <w:b/>
              </w:rPr>
              <w:t xml:space="preserve">Contact Person:</w:t>
            </w:r>
          </w:p>
        </w:tc>
        <w:tc>
          <w:tcPr/>
          <w:p>
            <w:pPr>
              <w:pStyle w:val="Compact"/>
              <w:jc w:val="left"/>
            </w:pPr>
            <w:r>
              <w:t xml:space="preserve">Dr. Carlos Alberto Mendoza Huamán – Sales Manager</w:t>
            </w:r>
          </w:p>
        </w:tc>
      </w:tr>
      <w:tr>
        <w:tc>
          <w:tcPr/>
          <w:p>
            <w:pPr>
              <w:pStyle w:val="Compact"/>
              <w:jc w:val="left"/>
            </w:pPr>
            <w:r>
              <w:rPr>
                <w:bCs/>
                <w:b/>
              </w:rPr>
              <w:t xml:space="preserve">Email:</w:t>
            </w:r>
          </w:p>
        </w:tc>
        <w:tc>
          <w:tcPr/>
          <w:p>
            <w:pPr>
              <w:pStyle w:val="Compact"/>
              <w:jc w:val="left"/>
            </w:pPr>
            <w:r>
              <w:t xml:space="preserve">ventas@medequiposperu.pe</w:t>
            </w:r>
          </w:p>
        </w:tc>
      </w:tr>
      <w:tr>
        <w:tc>
          <w:tcPr/>
          <w:p>
            <w:pPr>
              <w:pStyle w:val="Compact"/>
              <w:jc w:val="left"/>
            </w:pPr>
            <w:r>
              <w:rPr>
                <w:bCs/>
                <w:b/>
              </w:rPr>
              <w:t xml:space="preserve">Phone:</w:t>
            </w:r>
          </w:p>
        </w:tc>
        <w:tc>
          <w:tcPr/>
          <w:p>
            <w:pPr>
              <w:pStyle w:val="Compact"/>
              <w:jc w:val="left"/>
            </w:pPr>
            <w:r>
              <w:t xml:space="preserve">+51 1 442-3321</w:t>
            </w:r>
          </w:p>
        </w:tc>
      </w:tr>
    </w:tbl>
    <w:bookmarkEnd w:id="22"/>
    <w:bookmarkStart w:id="23" w:name="purpose-and-scope-of-this-purchase-order"/>
    <w:p>
      <w:pPr>
        <w:pStyle w:val="Heading2"/>
      </w:pPr>
      <w:r>
        <w:t xml:space="preserve">3. Purpose and Scope of This Purchase Order</w:t>
      </w:r>
    </w:p>
    <w:p>
      <w:pPr>
        <w:pStyle w:val="FirstParagraph"/>
      </w:pPr>
      <w:r>
        <w:t xml:space="preserve">This</w:t>
      </w:r>
      <w:r>
        <w:t xml:space="preserve"> </w:t>
      </w:r>
      <w:r>
        <w:t xml:space="preserve">Purchase Order</w:t>
      </w:r>
      <w:r>
        <w:t xml:space="preserve"> </w:t>
      </w:r>
      <w:r>
        <w:t xml:space="preserve">is issued by Clinica Integral del Pacífico S.A.C. to procure specialized medical equipment, diagnostic instruments, and professional services required for the operational setup and ongoing maintenance of a</w:t>
      </w:r>
      <w:r>
        <w:t xml:space="preserve"> </w:t>
      </w:r>
      <w:r>
        <w:t xml:space="preserve">Doctor General Practitioner</w:t>
      </w:r>
      <w:r>
        <w:t xml:space="preserve"> </w:t>
      </w:r>
      <w:r>
        <w:t xml:space="preserve">consultation unit located in the San Isidro district of</w:t>
      </w:r>
      <w:r>
        <w:t xml:space="preserve"> </w:t>
      </w:r>
      <w:r>
        <w:t xml:space="preserve">Peru Lima</w:t>
      </w:r>
      <w:r>
        <w:t xml:space="preserve">. The</w:t>
      </w:r>
      <w:r>
        <w:t xml:space="preserve"> </w:t>
      </w:r>
      <w:r>
        <w:t xml:space="preserve">Doctor General Practitioner</w:t>
      </w:r>
      <w:r>
        <w:t xml:space="preserve"> </w:t>
      </w:r>
      <w:r>
        <w:t xml:space="preserve">will provide comprehensive primary healthcare services to the local community, including preventive medicine, diagnosis of common ailments, chronic disease management, and referral coordination with specialist physicians. All items and services listed herein are intended to ensure that the</w:t>
      </w:r>
      <w:r>
        <w:t xml:space="preserve"> </w:t>
      </w:r>
      <w:r>
        <w:t xml:space="preserve">Doctor General Practitioner</w:t>
      </w:r>
      <w:r>
        <w:t xml:space="preserve"> </w:t>
      </w:r>
      <w:r>
        <w:t xml:space="preserve">practice meets the regulatory standards established by the Ministry of Health (MINSA) of the Republic of Peru and the Superintendencia Nacional de Salud (SUSALUD).</w:t>
      </w:r>
    </w:p>
    <w:bookmarkEnd w:id="23"/>
    <w:bookmarkStart w:id="24" w:name="line-items-goods-and-services"/>
    <w:p>
      <w:pPr>
        <w:pStyle w:val="Heading2"/>
      </w:pPr>
      <w:r>
        <w:t xml:space="preserve">4. Line Items – Goods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(PEN)</w:t>
            </w:r>
          </w:p>
        </w:tc>
        <w:tc>
          <w:tcPr/>
          <w:p>
            <w:pPr>
              <w:pStyle w:val="Compact"/>
              <w:jc w:val="left"/>
            </w:pPr>
            <w:r>
              <w:t xml:space="preserve">Total (PEN)</w:t>
            </w:r>
          </w:p>
        </w:tc>
      </w:tr>
      <w:tr>
        <w:tc>
          <w:tcPr/>
          <w:p>
            <w:pPr>
              <w:pStyle w:val="Compact"/>
              <w:jc w:val="left"/>
            </w:pPr>
            <w:r>
              <w:t xml:space="preserve">01</w:t>
            </w:r>
          </w:p>
        </w:tc>
        <w:tc>
          <w:tcPr/>
          <w:p>
            <w:pPr>
              <w:pStyle w:val="Compact"/>
              <w:jc w:val="left"/>
            </w:pPr>
            <w:r>
              <w:t xml:space="preserve">Examination table with adjustable backrest, suitable for a Doctor General Practitioner consultation room</w:t>
            </w:r>
          </w:p>
        </w:tc>
        <w:tc>
          <w:tcPr/>
          <w:p>
            <w:pPr>
              <w:pStyle w:val="Compact"/>
              <w:jc w:val="left"/>
            </w:pPr>
            <w:r>
              <w:t xml:space="preserve">2</w:t>
            </w:r>
          </w:p>
        </w:tc>
        <w:tc>
          <w:tcPr/>
          <w:p>
            <w:pPr>
              <w:pStyle w:val="Compact"/>
              <w:jc w:val="left"/>
            </w:pPr>
            <w:r>
              <w:t xml:space="preserve">Units</w:t>
            </w:r>
          </w:p>
        </w:tc>
        <w:tc>
          <w:tcPr/>
          <w:p>
            <w:pPr>
              <w:pStyle w:val="Compact"/>
              <w:jc w:val="left"/>
            </w:pPr>
            <w:r>
              <w:t xml:space="preserve">3,850.00</w:t>
            </w:r>
          </w:p>
        </w:tc>
        <w:tc>
          <w:tcPr/>
          <w:p>
            <w:pPr>
              <w:pStyle w:val="Compact"/>
              <w:jc w:val="left"/>
            </w:pPr>
            <w:r>
              <w:t xml:space="preserve">7,700.00</w:t>
            </w:r>
          </w:p>
        </w:tc>
      </w:tr>
      <w:tr>
        <w:tc>
          <w:tcPr/>
          <w:p>
            <w:pPr>
              <w:pStyle w:val="Compact"/>
              <w:jc w:val="left"/>
            </w:pPr>
            <w:r>
              <w:t xml:space="preserve">02</w:t>
            </w:r>
          </w:p>
        </w:tc>
        <w:tc>
          <w:tcPr/>
          <w:p>
            <w:pPr>
              <w:pStyle w:val="Compact"/>
              <w:jc w:val="left"/>
            </w:pPr>
            <w:r>
              <w:t xml:space="preserve">Digital stethoscope, dual-head, with electronic auscultation recording (for Doctor General Practitioner use)</w:t>
            </w:r>
          </w:p>
        </w:tc>
        <w:tc>
          <w:tcPr/>
          <w:p>
            <w:pPr>
              <w:pStyle w:val="Compact"/>
              <w:jc w:val="left"/>
            </w:pPr>
            <w:r>
              <w:t xml:space="preserve">3</w:t>
            </w:r>
          </w:p>
        </w:tc>
        <w:tc>
          <w:tcPr/>
          <w:p>
            <w:pPr>
              <w:pStyle w:val="Compact"/>
              <w:jc w:val="left"/>
            </w:pPr>
            <w:r>
              <w:t xml:space="preserve">Units</w:t>
            </w:r>
          </w:p>
        </w:tc>
        <w:tc>
          <w:tcPr/>
          <w:p>
            <w:pPr>
              <w:pStyle w:val="Compact"/>
              <w:jc w:val="left"/>
            </w:pPr>
            <w:r>
              <w:t xml:space="preserve">1,250.00</w:t>
            </w:r>
          </w:p>
        </w:tc>
        <w:tc>
          <w:tcPr/>
          <w:p>
            <w:pPr>
              <w:pStyle w:val="Compact"/>
              <w:jc w:val="left"/>
            </w:pPr>
            <w:r>
              <w:t xml:space="preserve">3,750.00</w:t>
            </w:r>
          </w:p>
        </w:tc>
      </w:tr>
      <w:tr>
        <w:tc>
          <w:tcPr/>
          <w:p>
            <w:pPr>
              <w:pStyle w:val="Compact"/>
              <w:jc w:val="left"/>
            </w:pPr>
            <w:r>
              <w:t xml:space="preserve">03</w:t>
            </w:r>
          </w:p>
        </w:tc>
        <w:tc>
          <w:tcPr/>
          <w:p>
            <w:pPr>
              <w:pStyle w:val="Compact"/>
              <w:jc w:val="left"/>
            </w:pPr>
            <w:r>
              <w:t xml:space="preserve">Automatic blood pressure monitor, upper-arm, validated for clinical use in Peru Lima healthcare facilities</w:t>
            </w:r>
          </w:p>
        </w:tc>
        <w:tc>
          <w:tcPr/>
          <w:p>
            <w:pPr>
              <w:pStyle w:val="Compact"/>
              <w:jc w:val="left"/>
            </w:pPr>
            <w:r>
              <w:t xml:space="preserve">4</w:t>
            </w:r>
          </w:p>
        </w:tc>
        <w:tc>
          <w:tcPr/>
          <w:p>
            <w:pPr>
              <w:pStyle w:val="Compact"/>
              <w:jc w:val="left"/>
            </w:pPr>
            <w:r>
              <w:t xml:space="preserve">Units</w:t>
            </w:r>
          </w:p>
        </w:tc>
        <w:tc>
          <w:tcPr/>
          <w:p>
            <w:pPr>
              <w:pStyle w:val="Compact"/>
              <w:jc w:val="left"/>
            </w:pPr>
            <w:r>
              <w:t xml:space="preserve">680.00</w:t>
            </w:r>
          </w:p>
        </w:tc>
        <w:tc>
          <w:tcPr/>
          <w:p>
            <w:pPr>
              <w:pStyle w:val="Compact"/>
              <w:jc w:val="left"/>
            </w:pPr>
            <w:r>
              <w:t xml:space="preserve">2,720.00</w:t>
            </w:r>
          </w:p>
        </w:tc>
      </w:tr>
      <w:tr>
        <w:tc>
          <w:tcPr/>
          <w:p>
            <w:pPr>
              <w:pStyle w:val="Compact"/>
              <w:jc w:val="left"/>
            </w:pPr>
            <w:r>
              <w:t xml:space="preserve">04</w:t>
            </w:r>
          </w:p>
        </w:tc>
        <w:tc>
          <w:tcPr/>
          <w:p>
            <w:pPr>
              <w:pStyle w:val="Compact"/>
              <w:jc w:val="left"/>
            </w:pPr>
            <w:r>
              <w:t xml:space="preserve">Portable digital otoscope and ophthalmoscope combination set for Doctor General Practitioner examinations</w:t>
            </w:r>
          </w:p>
        </w:tc>
        <w:tc>
          <w:tcPr/>
          <w:p>
            <w:pPr>
              <w:pStyle w:val="Compact"/>
              <w:jc w:val="left"/>
            </w:pPr>
            <w:r>
              <w:t xml:space="preserve">3</w:t>
            </w:r>
          </w:p>
        </w:tc>
        <w:tc>
          <w:tcPr/>
          <w:p>
            <w:pPr>
              <w:pStyle w:val="Compact"/>
              <w:jc w:val="left"/>
            </w:pPr>
            <w:r>
              <w:t xml:space="preserve">Sets</w:t>
            </w:r>
          </w:p>
        </w:tc>
        <w:tc>
          <w:tcPr/>
          <w:p>
            <w:pPr>
              <w:pStyle w:val="Compact"/>
              <w:jc w:val="left"/>
            </w:pPr>
            <w:r>
              <w:t xml:space="preserve">920.00</w:t>
            </w:r>
          </w:p>
        </w:tc>
        <w:tc>
          <w:tcPr/>
          <w:p>
            <w:pPr>
              <w:pStyle w:val="Compact"/>
              <w:jc w:val="left"/>
            </w:pPr>
            <w:r>
              <w:t xml:space="preserve">2,760.00</w:t>
            </w:r>
          </w:p>
        </w:tc>
      </w:tr>
      <w:tr>
        <w:tc>
          <w:tcPr/>
          <w:p>
            <w:pPr>
              <w:pStyle w:val="Compact"/>
              <w:jc w:val="left"/>
            </w:pPr>
            <w:r>
              <w:t xml:space="preserve">05</w:t>
            </w:r>
          </w:p>
        </w:tc>
        <w:tc>
          <w:tcPr/>
          <w:p>
            <w:pPr>
              <w:pStyle w:val="Compact"/>
              <w:jc w:val="left"/>
            </w:pPr>
            <w:r>
              <w:t xml:space="preserve">Point-of-care blood glucose and lipid analyzer with test strips (12-month supply)</w:t>
            </w:r>
          </w:p>
        </w:tc>
        <w:tc>
          <w:tcPr/>
          <w:p>
            <w:pPr>
              <w:pStyle w:val="Compact"/>
              <w:jc w:val="left"/>
            </w:pPr>
            <w:r>
              <w:t xml:space="preserve">2</w:t>
            </w:r>
          </w:p>
        </w:tc>
        <w:tc>
          <w:tcPr/>
          <w:p>
            <w:pPr>
              <w:pStyle w:val="Compact"/>
              <w:jc w:val="left"/>
            </w:pPr>
            <w:r>
              <w:t xml:space="preserve">Units</w:t>
            </w:r>
          </w:p>
        </w:tc>
        <w:tc>
          <w:tcPr/>
          <w:p>
            <w:pPr>
              <w:pStyle w:val="Compact"/>
              <w:jc w:val="left"/>
            </w:pPr>
            <w:r>
              <w:t xml:space="preserve">4,500.00</w:t>
            </w:r>
          </w:p>
        </w:tc>
        <w:tc>
          <w:tcPr/>
          <w:p>
            <w:pPr>
              <w:pStyle w:val="Compact"/>
              <w:jc w:val="left"/>
            </w:pPr>
            <w:r>
              <w:t xml:space="preserve">9,000.00</w:t>
            </w:r>
          </w:p>
        </w:tc>
      </w:tr>
      <w:tr>
        <w:tc>
          <w:tcPr/>
          <w:p>
            <w:pPr>
              <w:pStyle w:val="Compact"/>
              <w:jc w:val="left"/>
            </w:pPr>
            <w:r>
              <w:t xml:space="preserve">06</w:t>
            </w:r>
          </w:p>
        </w:tc>
        <w:tc>
          <w:tcPr/>
          <w:p>
            <w:pPr>
              <w:pStyle w:val="Compact"/>
              <w:jc w:val="left"/>
            </w:pPr>
            <w:r>
              <w:t xml:space="preserve">Medical consultation desk with integrated patient file storage, ergonomic design</w:t>
            </w:r>
          </w:p>
        </w:tc>
        <w:tc>
          <w:tcPr/>
          <w:p>
            <w:pPr>
              <w:pStyle w:val="Compact"/>
              <w:jc w:val="left"/>
            </w:pPr>
            <w:r>
              <w:t xml:space="preserve">2</w:t>
            </w:r>
          </w:p>
        </w:tc>
        <w:tc>
          <w:tcPr/>
          <w:p>
            <w:pPr>
              <w:pStyle w:val="Compact"/>
              <w:jc w:val="left"/>
            </w:pPr>
            <w:r>
              <w:t xml:space="preserve">Units</w:t>
            </w:r>
          </w:p>
        </w:tc>
        <w:tc>
          <w:tcPr/>
          <w:p>
            <w:pPr>
              <w:pStyle w:val="Compact"/>
              <w:jc w:val="left"/>
            </w:pPr>
            <w:r>
              <w:t xml:space="preserve">2,400.00</w:t>
            </w:r>
          </w:p>
        </w:tc>
        <w:tc>
          <w:tcPr/>
          <w:p>
            <w:pPr>
              <w:pStyle w:val="Compact"/>
              <w:jc w:val="left"/>
            </w:pPr>
            <w:r>
              <w:t xml:space="preserve">4,800.00</w:t>
            </w:r>
          </w:p>
        </w:tc>
      </w:tr>
      <w:tr>
        <w:tc>
          <w:tcPr/>
          <w:p>
            <w:pPr>
              <w:pStyle w:val="Compact"/>
              <w:jc w:val="left"/>
            </w:pPr>
            <w:r>
              <w:t xml:space="preserve">07</w:t>
            </w:r>
          </w:p>
        </w:tc>
        <w:tc>
          <w:tcPr/>
          <w:p>
            <w:pPr>
              <w:pStyle w:val="Compact"/>
              <w:jc w:val="left"/>
            </w:pPr>
            <w:r>
              <w:t xml:space="preserve">Electronic health record (EHR) software license – 1-year subscription, compliant with Peruvian data protection law (Ley 29733)</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08</w:t>
            </w:r>
          </w:p>
        </w:tc>
        <w:tc>
          <w:tcPr/>
          <w:p>
            <w:pPr>
              <w:pStyle w:val="Compact"/>
              <w:jc w:val="left"/>
            </w:pPr>
            <w:r>
              <w:t xml:space="preserve">Installation, calibration, and initial training for all equipment delivered to the Peru Lima clinic site</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5,500.00</w:t>
            </w:r>
          </w:p>
        </w:tc>
        <w:tc>
          <w:tcPr/>
          <w:p>
            <w:pPr>
              <w:pStyle w:val="Compact"/>
              <w:jc w:val="left"/>
            </w:pPr>
            <w:r>
              <w:t xml:space="preserve">5,500.00</w:t>
            </w:r>
          </w:p>
        </w:tc>
      </w:tr>
      <w:tr>
        <w:tc>
          <w:tcPr/>
          <w:p>
            <w:pPr>
              <w:pStyle w:val="Compact"/>
              <w:jc w:val="left"/>
            </w:pPr>
            <w:r>
              <w:t xml:space="preserve">09</w:t>
            </w:r>
          </w:p>
        </w:tc>
        <w:tc>
          <w:tcPr/>
          <w:p>
            <w:pPr>
              <w:pStyle w:val="Compact"/>
              <w:jc w:val="left"/>
            </w:pPr>
            <w:r>
              <w:t xml:space="preserve">Annual preventive maintenance contract for all diagnostic instruments (12 months)</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10</w:t>
            </w:r>
          </w:p>
        </w:tc>
        <w:tc>
          <w:tcPr/>
          <w:p>
            <w:pPr>
              <w:pStyle w:val="Compact"/>
              <w:jc w:val="left"/>
            </w:pPr>
            <w:r>
              <w:t xml:space="preserve">Medical waste disposal service – monthly collection at the Peru Lima facility (12-month contract)</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w:t>
            </w:r>
          </w:p>
        </w:tc>
        <w:tc>
          <w:tcPr/>
          <w:p>
            <w:pPr>
              <w:pStyle w:val="Compact"/>
              <w:jc w:val="left"/>
            </w:pPr>
            <w:r>
              <w:t xml:space="preserve">10,200.00</w:t>
            </w:r>
          </w:p>
        </w:tc>
      </w:tr>
      <w:tr>
        <w:tc>
          <w:tcPr>
            <w:gridSpan w:val="5"/>
          </w:tcPr>
          <w:p>
            <w:pPr>
              <w:pStyle w:val="Compact"/>
              <w:jc w:val="right"/>
            </w:pPr>
            <w:r>
              <w:t xml:space="preserve">SUBTOTAL (PEN)</w:t>
            </w:r>
          </w:p>
        </w:tc>
        <w:tc>
          <w:tcPr/>
          <w:p>
            <w:pPr>
              <w:pStyle w:val="Compact"/>
              <w:jc w:val="left"/>
            </w:pPr>
            <w:r>
              <w:t xml:space="preserve">61,630.00</w:t>
            </w:r>
          </w:p>
        </w:tc>
      </w:tr>
      <w:tr>
        <w:tc>
          <w:tcPr>
            <w:gridSpan w:val="5"/>
          </w:tcPr>
          <w:p>
            <w:pPr>
              <w:pStyle w:val="Compact"/>
              <w:jc w:val="right"/>
            </w:pPr>
            <w:r>
              <w:t xml:space="preserve">IGV (18% VAT – Peru)</w:t>
            </w:r>
          </w:p>
        </w:tc>
        <w:tc>
          <w:tcPr/>
          <w:p>
            <w:pPr>
              <w:pStyle w:val="Compact"/>
              <w:jc w:val="left"/>
            </w:pPr>
            <w:r>
              <w:t xml:space="preserve">11,093.40</w:t>
            </w:r>
          </w:p>
        </w:tc>
      </w:tr>
      <w:tr>
        <w:tc>
          <w:tcPr>
            <w:gridSpan w:val="5"/>
          </w:tcPr>
          <w:p>
            <w:pPr>
              <w:pStyle w:val="Compact"/>
              <w:jc w:val="right"/>
            </w:pPr>
            <w:r>
              <w:t xml:space="preserve">GRAND TOTAL (PEN)</w:t>
            </w:r>
          </w:p>
        </w:tc>
        <w:tc>
          <w:tcPr/>
          <w:p>
            <w:pPr>
              <w:pStyle w:val="Compact"/>
              <w:jc w:val="left"/>
            </w:pPr>
            <w:r>
              <w:t xml:space="preserve">72,723.40</w:t>
            </w:r>
          </w:p>
        </w:tc>
      </w:tr>
    </w:tbl>
    <w:bookmarkEnd w:id="24"/>
    <w:bookmarkStart w:id="25" w:name="delivery-and-installation"/>
    <w:p>
      <w:pPr>
        <w:pStyle w:val="Heading2"/>
      </w:pPr>
      <w:r>
        <w:t xml:space="preserve">5. Delivery and Installation</w:t>
      </w:r>
    </w:p>
    <w:p>
      <w:pPr>
        <w:pStyle w:val="FirstParagraph"/>
      </w:pPr>
      <w:r>
        <w:t xml:space="preserve">All physical goods listed in this</w:t>
      </w:r>
      <w:r>
        <w:t xml:space="preserve"> </w:t>
      </w:r>
      <w:r>
        <w:t xml:space="preserve">Purchase Order</w:t>
      </w:r>
      <w:r>
        <w:t xml:space="preserve"> </w:t>
      </w:r>
      <w:r>
        <w:t xml:space="preserve">shall be delivered to the clinic premises at Av. Javier Prado Este 1250, San Isidro,</w:t>
      </w:r>
      <w:r>
        <w:t xml:space="preserve"> </w:t>
      </w:r>
      <w:r>
        <w:t xml:space="preserve">Peru Lima</w:t>
      </w:r>
      <w:r>
        <w:t xml:space="preserve">, within fifteen (15) business days from the date of acceptance of this</w:t>
      </w:r>
      <w:r>
        <w:t xml:space="preserve"> </w:t>
      </w:r>
      <w:r>
        <w:t xml:space="preserve">Purchase Order</w:t>
      </w:r>
      <w:r>
        <w:t xml:space="preserve"> </w:t>
      </w:r>
      <w:r>
        <w:t xml:space="preserve">by the supplier. Installation and calibration services (Item 08) shall be completed within five (5) business days following delivery. The supplier is responsible for all transportation costs, insurance during transit, and any applicable municipal permits required for delivery within the Lima metropolitan area. The</w:t>
      </w:r>
      <w:r>
        <w:t xml:space="preserve"> </w:t>
      </w:r>
      <w:r>
        <w:t xml:space="preserve">Doctor General Practitioner</w:t>
      </w:r>
      <w:r>
        <w:t xml:space="preserve"> </w:t>
      </w:r>
      <w:r>
        <w:t xml:space="preserve">and clinic staff will be available on-site to assist with the installation process and to receive initial training on the operation of all delivered equipment.</w:t>
      </w:r>
    </w:p>
    <w:bookmarkEnd w:id="25"/>
    <w:bookmarkStart w:id="26" w:name="payment-terms"/>
    <w:p>
      <w:pPr>
        <w:pStyle w:val="Heading2"/>
      </w:pPr>
      <w:r>
        <w:t xml:space="preserve">6. Payment Terms</w:t>
      </w:r>
    </w:p>
    <w:p>
      <w:pPr>
        <w:numPr>
          <w:ilvl w:val="0"/>
          <w:numId w:val="1001"/>
        </w:numPr>
        <w:pStyle w:val="Compact"/>
      </w:pPr>
      <w:r>
        <w:rPr>
          <w:bCs/>
          <w:b/>
        </w:rPr>
        <w:t xml:space="preserve">Payment Method:</w:t>
      </w:r>
      <w:r>
        <w:t xml:space="preserve"> </w:t>
      </w:r>
      <w:r>
        <w:t xml:space="preserve">Bank transfer (Depósito/Transferencia) to the supplier's account at Banco de Crédito del Perú, CCI: 002-123-45678901-23.</w:t>
      </w:r>
    </w:p>
    <w:p>
      <w:pPr>
        <w:numPr>
          <w:ilvl w:val="0"/>
          <w:numId w:val="1001"/>
        </w:numPr>
        <w:pStyle w:val="Compact"/>
      </w:pPr>
      <w:r>
        <w:rPr>
          <w:bCs/>
          <w:b/>
        </w:rPr>
        <w:t xml:space="preserve">Payment Schedule:</w:t>
      </w:r>
      <w:r>
        <w:t xml:space="preserve"> </w:t>
      </w:r>
      <w:r>
        <w:t xml:space="preserve">40% advance payment upon signing of this</w:t>
      </w:r>
      <w:r>
        <w:t xml:space="preserve"> </w:t>
      </w:r>
      <w:r>
        <w:t xml:space="preserve">Purchase Order</w:t>
      </w:r>
      <w:r>
        <w:t xml:space="preserve">; 60% balance payment upon successful delivery, installation, and acceptance of all items at the</w:t>
      </w:r>
      <w:r>
        <w:t xml:space="preserve"> </w:t>
      </w:r>
      <w:r>
        <w:t xml:space="preserve">Peru Lima</w:t>
      </w:r>
      <w:r>
        <w:t xml:space="preserve"> </w:t>
      </w:r>
      <w:r>
        <w:t xml:space="preserve">facility.</w:t>
      </w:r>
    </w:p>
    <w:p>
      <w:pPr>
        <w:numPr>
          <w:ilvl w:val="0"/>
          <w:numId w:val="1001"/>
        </w:numPr>
        <w:pStyle w:val="Compact"/>
      </w:pPr>
      <w:r>
        <w:rPr>
          <w:bCs/>
          <w:b/>
        </w:rPr>
        <w:t xml:space="preserve">Payment Deadline:</w:t>
      </w:r>
      <w:r>
        <w:t xml:space="preserve"> </w:t>
      </w:r>
      <w:r>
        <w:t xml:space="preserve">Net 30 days from the date of the supplier's invoice (Factura) issuance.</w:t>
      </w:r>
    </w:p>
    <w:p>
      <w:pPr>
        <w:numPr>
          <w:ilvl w:val="0"/>
          <w:numId w:val="1001"/>
        </w:numPr>
        <w:pStyle w:val="Compact"/>
      </w:pPr>
      <w:r>
        <w:rPr>
          <w:bCs/>
          <w:b/>
        </w:rPr>
        <w:t xml:space="preserve">Currency:</w:t>
      </w:r>
      <w:r>
        <w:t xml:space="preserve"> </w:t>
      </w:r>
      <w:r>
        <w:t xml:space="preserve">All amounts are denominated in Peruvian Soles (PEN / S/).</w:t>
      </w:r>
    </w:p>
    <w:p>
      <w:pPr>
        <w:numPr>
          <w:ilvl w:val="0"/>
          <w:numId w:val="1001"/>
        </w:numPr>
        <w:pStyle w:val="Compact"/>
      </w:pPr>
      <w:r>
        <w:rPr>
          <w:bCs/>
          <w:b/>
        </w:rPr>
        <w:t xml:space="preserve">Tax Documentation:</w:t>
      </w:r>
      <w:r>
        <w:t xml:space="preserve"> </w:t>
      </w:r>
      <w:r>
        <w:t xml:space="preserve">The supplier shall issue a formal electronic invoice (Factura Electrónica) compliant with the SUNAT (Superintendencia Nacional de Aduanas y de Administración Tributaria) regulations of Peru.</w:t>
      </w:r>
    </w:p>
    <w:bookmarkEnd w:id="26"/>
    <w:bookmarkStart w:id="27" w:name="terms-and-conditions"/>
    <w:p>
      <w:pPr>
        <w:pStyle w:val="Heading2"/>
      </w:pPr>
      <w:r>
        <w:t xml:space="preserve">7. Terms and Conditions</w:t>
      </w:r>
    </w:p>
    <w:p>
      <w:pPr>
        <w:numPr>
          <w:ilvl w:val="0"/>
          <w:numId w:val="1002"/>
        </w:numPr>
        <w:pStyle w:val="Compact"/>
      </w:pPr>
      <w:r>
        <w:t xml:space="preserve">This</w:t>
      </w:r>
      <w:r>
        <w:t xml:space="preserve"> </w:t>
      </w:r>
      <w:r>
        <w:t xml:space="preserve">Purchase Order</w:t>
      </w:r>
      <w:r>
        <w:t xml:space="preserve"> </w:t>
      </w:r>
      <w:r>
        <w:t xml:space="preserve">is governed by the Civil Code of the Republic of Peru and applicable commercial regulations. Any disputes arising from this</w:t>
      </w:r>
      <w:r>
        <w:t xml:space="preserve"> </w:t>
      </w:r>
      <w:r>
        <w:t xml:space="preserve">Purchase Order</w:t>
      </w:r>
      <w:r>
        <w:t xml:space="preserve"> </w:t>
      </w:r>
      <w:r>
        <w:t xml:space="preserve">shall be resolved in the competent courts of</w:t>
      </w:r>
      <w:r>
        <w:t xml:space="preserve"> </w:t>
      </w:r>
      <w:r>
        <w:t xml:space="preserve">Peru Lima</w:t>
      </w:r>
      <w:r>
        <w:t xml:space="preserve">.</w:t>
      </w:r>
    </w:p>
    <w:p>
      <w:pPr>
        <w:numPr>
          <w:ilvl w:val="0"/>
          <w:numId w:val="1002"/>
        </w:numPr>
        <w:pStyle w:val="Compact"/>
      </w:pPr>
      <w:r>
        <w:t xml:space="preserve">All medical equipment must carry the corresponding registration with DIGEMID (Dirección General de Medicamentos, Insumos y Productos Sanitarios) and must be in full compliance with Peruvian health regulations.</w:t>
      </w:r>
    </w:p>
    <w:p>
      <w:pPr>
        <w:numPr>
          <w:ilvl w:val="0"/>
          <w:numId w:val="1002"/>
        </w:numPr>
        <w:pStyle w:val="Compact"/>
      </w:pPr>
      <w:r>
        <w:t xml:space="preserve">The supplier warrants that all equipment is new, unused, and free from defects for a period of twenty-four (24) months from the date of installation at the</w:t>
      </w:r>
      <w:r>
        <w:t xml:space="preserve"> </w:t>
      </w:r>
      <w:r>
        <w:t xml:space="preserve">Peru Lima</w:t>
      </w:r>
      <w:r>
        <w:t xml:space="preserve"> </w:t>
      </w:r>
      <w:r>
        <w:t xml:space="preserve">site.</w:t>
      </w:r>
    </w:p>
    <w:p>
      <w:pPr>
        <w:numPr>
          <w:ilvl w:val="0"/>
          <w:numId w:val="1002"/>
        </w:numPr>
        <w:pStyle w:val="Compact"/>
      </w:pPr>
      <w:r>
        <w:t xml:space="preserve">The</w:t>
      </w:r>
      <w:r>
        <w:t xml:space="preserve"> </w:t>
      </w:r>
      <w:r>
        <w:t xml:space="preserve">Doctor General Practitioner</w:t>
      </w:r>
      <w:r>
        <w:t xml:space="preserve"> </w:t>
      </w:r>
      <w:r>
        <w:t xml:space="preserve">assigned to this clinic unit shall be the primary user of all procured equipment and shall be responsible for proper daily operation and reporting of any malfunctions to the supplier's maintenance team.</w:t>
      </w:r>
    </w:p>
    <w:p>
      <w:pPr>
        <w:numPr>
          <w:ilvl w:val="0"/>
          <w:numId w:val="1002"/>
        </w:numPr>
        <w:pStyle w:val="Compact"/>
      </w:pPr>
      <w:r>
        <w:t xml:space="preserve">Delivery delays exceeding ten (10) business days beyond the agreed date shall entitle the buyer to a penalty of 0.5% of the total</w:t>
      </w:r>
      <w:r>
        <w:t xml:space="preserve"> </w:t>
      </w:r>
      <w:r>
        <w:t xml:space="preserve">Purchase Order</w:t>
      </w:r>
      <w:r>
        <w:t xml:space="preserve"> </w:t>
      </w:r>
      <w:r>
        <w:t xml:space="preserve">value per day of delay, up to a maximum of 10%.</w:t>
      </w:r>
    </w:p>
    <w:p>
      <w:pPr>
        <w:numPr>
          <w:ilvl w:val="0"/>
          <w:numId w:val="1002"/>
        </w:numPr>
        <w:pStyle w:val="Compact"/>
      </w:pPr>
      <w:r>
        <w:t xml:space="preserve">Neither party may assign or transfer this</w:t>
      </w:r>
      <w:r>
        <w:t xml:space="preserve"> </w:t>
      </w:r>
      <w:r>
        <w:t xml:space="preserve">Purchase Order</w:t>
      </w:r>
      <w:r>
        <w:t xml:space="preserve"> </w:t>
      </w:r>
      <w:r>
        <w:t xml:space="preserve">without the prior written consent of the other party.</w:t>
      </w:r>
    </w:p>
    <w:p>
      <w:pPr>
        <w:numPr>
          <w:ilvl w:val="0"/>
          <w:numId w:val="1002"/>
        </w:numPr>
        <w:pStyle w:val="Compact"/>
      </w:pPr>
      <w:r>
        <w:t xml:space="preserve">This</w:t>
      </w:r>
      <w:r>
        <w:t xml:space="preserve"> </w:t>
      </w:r>
      <w:r>
        <w:t xml:space="preserve">Purchase Order</w:t>
      </w:r>
      <w:r>
        <w:t xml:space="preserve"> </w:t>
      </w:r>
      <w:r>
        <w:t xml:space="preserve">becomes effective upon signature by both parties and remains valid until all obligations have been fulfilled in accordance with its terms.</w:t>
      </w:r>
    </w:p>
    <w:bookmarkEnd w:id="27"/>
    <w:bookmarkStart w:id="28" w:name="acceptance-and-signatures"/>
    <w:p>
      <w:pPr>
        <w:pStyle w:val="Heading2"/>
      </w:pPr>
      <w:r>
        <w:t xml:space="preserve">8. Acceptance and Signatures</w:t>
      </w:r>
    </w:p>
    <w:p>
      <w:pPr>
        <w:pStyle w:val="FirstParagraph"/>
      </w:pPr>
      <w:r>
        <w:t xml:space="preserve">By signing below, both parties acknowledge and agree to all terms, conditions, and specifications outlined in this</w:t>
      </w:r>
      <w:r>
        <w:t xml:space="preserve"> </w:t>
      </w:r>
      <w:r>
        <w:t xml:space="preserve">Purchase Order</w:t>
      </w:r>
      <w:r>
        <w:t xml:space="preserve"> </w:t>
      </w:r>
      <w:r>
        <w:t xml:space="preserve">for the procurement of equipment and services for the</w:t>
      </w:r>
      <w:r>
        <w:t xml:space="preserve"> </w:t>
      </w:r>
      <w:r>
        <w:t xml:space="preserve">Doctor General Practitioner</w:t>
      </w:r>
      <w:r>
        <w:t xml:space="preserve"> </w:t>
      </w:r>
      <w:r>
        <w:t xml:space="preserve">practice in</w:t>
      </w:r>
      <w:r>
        <w:t xml:space="preserve"> </w:t>
      </w:r>
      <w:r>
        <w:t xml:space="preserve">Peru Lima</w:t>
      </w:r>
      <w:r>
        <w:t xml:space="preserve">.</w:t>
      </w:r>
    </w:p>
    <w:bookmarkEnd w:id="28"/>
    <w:p>
      <w:pPr>
        <w:pStyle w:val="BodyText"/>
      </w:pPr>
      <w:r>
        <w:rPr>
          <w:bCs/>
          <w:b/>
        </w:rPr>
        <w:t xml:space="preserve">For the Buyer:</w:t>
      </w:r>
      <w:r>
        <w:br/>
      </w:r>
      <w:r>
        <w:t xml:space="preserve">Ing. María Fernanda Quispe Rojas</w:t>
      </w:r>
      <w:r>
        <w:br/>
      </w:r>
      <w:r>
        <w:t xml:space="preserve">Procurement Director</w:t>
      </w:r>
      <w:r>
        <w:br/>
      </w:r>
      <w:r>
        <w:t xml:space="preserve">Clinica Integral del Pacífico S.A.C.</w:t>
      </w:r>
      <w:r>
        <w:br/>
      </w:r>
      <w:r>
        <w:t xml:space="preserve">Peru Lima</w:t>
      </w:r>
      <w:r>
        <w:br/>
      </w:r>
      <w:r>
        <w:br/>
      </w:r>
      <w:r>
        <w:t xml:space="preserve">Date: _______________</w:t>
      </w:r>
    </w:p>
    <w:p>
      <w:pPr>
        <w:pStyle w:val="BodyText"/>
      </w:pPr>
      <w:r>
        <w:rPr>
          <w:bCs/>
          <w:b/>
        </w:rPr>
        <w:t xml:space="preserve">For the Supplier:</w:t>
      </w:r>
      <w:r>
        <w:br/>
      </w:r>
      <w:r>
        <w:t xml:space="preserve">Dr. Carlos Alberto Mendoza Huamán</w:t>
      </w:r>
      <w:r>
        <w:br/>
      </w:r>
      <w:r>
        <w:t xml:space="preserve">Sales Manager</w:t>
      </w:r>
      <w:r>
        <w:br/>
      </w:r>
      <w:r>
        <w:t xml:space="preserve">MedEquipos del Perú E.I.R.L.</w:t>
      </w:r>
      <w:r>
        <w:br/>
      </w:r>
      <w:r>
        <w:t xml:space="preserve">Peru Lima</w:t>
      </w:r>
      <w:r>
        <w:br/>
      </w:r>
      <w:r>
        <w:br/>
      </w:r>
      <w:r>
        <w:t xml:space="preserve">Date: _______________</w:t>
      </w:r>
    </w:p>
    <w:p>
      <w:pPr>
        <w:pStyle w:val="BodyText"/>
      </w:pPr>
      <w:r>
        <w:t xml:space="preserve">This Purchase Order (PO No. PL-2025-0847-GP) was prepared for the Doctor General Practitioner unit at Clinica Integral del Pacífico S.A.C., Peru Lima. Document reference: CI-PROC-2025-0847. For questions regarding this Purchase Order, contact the Procurement Department at compras@clinicaintegral.pe or +51 1 445-6789.</w:t>
      </w:r>
    </w:p>
    <w:p>
      <w:pPr>
        <w:pStyle w:val="BodyText"/>
      </w:pPr>
      <w:r>
        <w:t xml:space="preserve">© 2025 Clinica Integral del Pacífico S.A.C. – All Rights Reserved. Peru Lima.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Doctor General Practitioner - Peru Lima</dc:title>
  <dc:creator/>
  <dc:language>en</dc:language>
  <cp:keywords/>
  <dcterms:created xsi:type="dcterms:W3CDTF">2026-10-10T06:22:01Z</dcterms:created>
  <dcterms:modified xsi:type="dcterms:W3CDTF">2026-10-10T06:22:01Z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