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Doctor General Practitioner – Medical Supply Procurement</w:t>
      </w:r>
    </w:p>
    <w:p>
      <w:pPr>
        <w:pStyle w:val="BodyText"/>
      </w:pPr>
      <w:r>
        <w:t xml:space="preserve">Philippines Manila | Republic of the Philippines</w:t>
      </w:r>
    </w:p>
    <w:bookmarkEnd w:id="20"/>
    <w:bookmarkStart w:id="21" w:name="issued-by-buyer"/>
    <w:p>
      <w:pPr>
        <w:pStyle w:val="Heading3"/>
      </w:pPr>
      <w:r>
        <w:t xml:space="preserve">Issued By (Buyer)</w:t>
      </w:r>
    </w:p>
    <w:p>
      <w:pPr>
        <w:pStyle w:val="FirstParagraph"/>
      </w:pPr>
      <w:r>
        <w:rPr>
          <w:bCs/>
          <w:b/>
        </w:rPr>
        <w:t xml:space="preserve">Dr. Maria L. Santos, M.D.</w:t>
      </w:r>
    </w:p>
    <w:p>
      <w:pPr>
        <w:pStyle w:val="BodyText"/>
      </w:pPr>
      <w:r>
        <w:t xml:space="preserve">Doctor General Practitioner</w:t>
      </w:r>
    </w:p>
    <w:p>
      <w:pPr>
        <w:pStyle w:val="BodyText"/>
      </w:pPr>
      <w:r>
        <w:t xml:space="preserve">Santos General Practice Clinic</w:t>
      </w:r>
    </w:p>
    <w:p>
      <w:pPr>
        <w:pStyle w:val="BodyText"/>
      </w:pPr>
      <w:r>
        <w:t xml:space="preserve">Unit 4B, Medical Plaza Tower</w:t>
      </w:r>
    </w:p>
    <w:p>
      <w:pPr>
        <w:pStyle w:val="BodyText"/>
      </w:pPr>
      <w:r>
        <w:t xml:space="preserve">123 Ayala Avenue, Makati City</w:t>
      </w:r>
    </w:p>
    <w:p>
      <w:pPr>
        <w:pStyle w:val="BodyText"/>
      </w:pPr>
      <w:r>
        <w:t xml:space="preserve">Philippines Manila, 1226</w:t>
      </w:r>
    </w:p>
    <w:p>
      <w:pPr>
        <w:pStyle w:val="BodyText"/>
      </w:pPr>
      <w:r>
        <w:t xml:space="preserve">Tel: +63 (2) 8887-4521</w:t>
      </w:r>
    </w:p>
    <w:p>
      <w:pPr>
        <w:pStyle w:val="BodyText"/>
      </w:pPr>
      <w:r>
        <w:t xml:space="preserve">Email: dr.santos.gp@manilapractice.ph</w:t>
      </w:r>
    </w:p>
    <w:p>
      <w:pPr>
        <w:pStyle w:val="BodyText"/>
      </w:pPr>
      <w:r>
        <w:t xml:space="preserve">PhilHealth Provider No. PH-2024-0087341</w:t>
      </w:r>
    </w:p>
    <w:bookmarkEnd w:id="21"/>
    <w:bookmarkStart w:id="22" w:name="supplier-vendor"/>
    <w:p>
      <w:pPr>
        <w:pStyle w:val="Heading3"/>
      </w:pPr>
      <w:r>
        <w:t xml:space="preserve">Supplier (Vendor)</w:t>
      </w:r>
    </w:p>
    <w:p>
      <w:pPr>
        <w:pStyle w:val="FirstParagraph"/>
      </w:pPr>
      <w:r>
        <w:rPr>
          <w:bCs/>
          <w:b/>
        </w:rPr>
        <w:t xml:space="preserve">MediSupply Philippines, Inc.</w:t>
      </w:r>
    </w:p>
    <w:p>
      <w:pPr>
        <w:pStyle w:val="BodyText"/>
      </w:pPr>
      <w:r>
        <w:t xml:space="preserve">Registered Medical Equipment Distributor</w:t>
      </w:r>
    </w:p>
    <w:p>
      <w:pPr>
        <w:pStyle w:val="BodyText"/>
      </w:pPr>
      <w:r>
        <w:t xml:space="preserve">Lot 88, Industrial Park, Brgy. Poblacion</w:t>
      </w:r>
    </w:p>
    <w:p>
      <w:pPr>
        <w:pStyle w:val="BodyText"/>
      </w:pPr>
      <w:r>
        <w:t xml:space="preserve">Quezon City, Philippines Manila, 1100</w:t>
      </w:r>
    </w:p>
    <w:p>
      <w:pPr>
        <w:pStyle w:val="BodyText"/>
      </w:pPr>
      <w:r>
        <w:t xml:space="preserve">Tel: +63 (2) 8555-9012</w:t>
      </w:r>
    </w:p>
    <w:p>
      <w:pPr>
        <w:pStyle w:val="BodyText"/>
      </w:pPr>
      <w:r>
        <w:t xml:space="preserve">Email: sales@medisupplyph.com</w:t>
      </w:r>
    </w:p>
    <w:p>
      <w:pPr>
        <w:pStyle w:val="BodyText"/>
      </w:pPr>
      <w:r>
        <w:t xml:space="preserve">DTI Reg. No. 2019-0456789</w:t>
      </w:r>
    </w:p>
    <w:p>
      <w:pPr>
        <w:pStyle w:val="BodyText"/>
      </w:pPr>
      <w:r>
        <w:t xml:space="preserve">BIR TIN: 000-123-456-000</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PO-2025-MNL-00472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Delivery Deadline:</w:t>
            </w:r>
          </w:p>
        </w:tc>
        <w:tc>
          <w:tcPr/>
          <w:p>
            <w:pPr>
              <w:pStyle w:val="Compact"/>
              <w:jc w:val="left"/>
            </w:pPr>
            <w:r>
              <w:t xml:space="preserve">June 26,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Delivery Address:</w:t>
            </w:r>
          </w:p>
        </w:tc>
        <w:tc>
          <w:tcPr>
            <w:gridSpan w:val="3"/>
          </w:tcPr>
          <w:p>
            <w:pPr>
              <w:pStyle w:val="Compact"/>
              <w:jc w:val="left"/>
            </w:pPr>
            <w:r>
              <w:t xml:space="preserve">Santos General Practice Clinic, Unit 4B, Medical Plaza Tower, 123 Ayala Avenue, Makati City, Philippines Manila, 1226</w:t>
            </w:r>
          </w:p>
        </w:tc>
      </w:tr>
      <w:tr>
        <w:tc>
          <w:tcPr/>
          <w:p>
            <w:pPr>
              <w:pStyle w:val="Compact"/>
              <w:jc w:val="left"/>
            </w:pPr>
            <w:r>
              <w:t xml:space="preserve">Currency:</w:t>
            </w:r>
          </w:p>
        </w:tc>
        <w:tc>
          <w:tcPr/>
          <w:p>
            <w:pPr>
              <w:pStyle w:val="Compact"/>
              <w:jc w:val="left"/>
            </w:pPr>
            <w:r>
              <w:t xml:space="preserve">Philippine Peso (PHP)</w:t>
            </w:r>
          </w:p>
        </w:tc>
        <w:tc>
          <w:tcPr/>
          <w:p>
            <w:pPr>
              <w:pStyle w:val="Compact"/>
              <w:jc w:val="left"/>
            </w:pPr>
            <w:r>
              <w:t xml:space="preserve">Incoterms:</w:t>
            </w:r>
          </w:p>
        </w:tc>
        <w:tc>
          <w:tcPr/>
          <w:p>
            <w:pPr>
              <w:pStyle w:val="Compact"/>
              <w:jc w:val="left"/>
            </w:pPr>
            <w:r>
              <w:t xml:space="preserve">DDP (Delivered Duty Paid) – Philippines Manila</w:t>
            </w:r>
          </w:p>
        </w:tc>
      </w:tr>
    </w:tbl>
    <w:bookmarkStart w:id="23" w:name="Xd2a72dbe49227ee5d9a668bbd4778ed0509564a"/>
    <w:p>
      <w:pPr>
        <w:pStyle w:val="Heading2"/>
      </w:pPr>
      <w:r>
        <w:t xml:space="preserve">Line Items – Medical Supplies and Equipment for Doctor General Practitioner Practice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Total (PHP)</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Electronic Blood Pressure Monitor (Omron HEM-7361T) – for routine consultations by the Doctor General Practitioner</w:t>
            </w:r>
          </w:p>
        </w:tc>
        <w:tc>
          <w:tcPr/>
          <w:p>
            <w:pPr>
              <w:pStyle w:val="Compact"/>
              <w:jc w:val="left"/>
            </w:pPr>
            <w:r>
              <w:t xml:space="preserve">MS-EBP-7361</w:t>
            </w:r>
          </w:p>
        </w:tc>
        <w:tc>
          <w:tcPr/>
          <w:p>
            <w:pPr>
              <w:pStyle w:val="Compact"/>
              <w:jc w:val="left"/>
            </w:pPr>
            <w:r>
              <w:t xml:space="preserve">4</w:t>
            </w:r>
          </w:p>
        </w:tc>
        <w:tc>
          <w:tcPr/>
          <w:p>
            <w:pPr>
              <w:pStyle w:val="Compact"/>
              <w:jc w:val="left"/>
            </w:pPr>
            <w:r>
              <w:t xml:space="preserve">3,850.00</w:t>
            </w:r>
          </w:p>
        </w:tc>
        <w:tc>
          <w:tcPr/>
          <w:p>
            <w:pPr>
              <w:pStyle w:val="Compact"/>
              <w:jc w:val="left"/>
            </w:pPr>
            <w:r>
              <w:t xml:space="preserve">15,400.00</w:t>
            </w:r>
          </w:p>
        </w:tc>
        <w:tc>
          <w:tcPr/>
          <w:p>
            <w:pPr>
              <w:pStyle w:val="Compact"/>
              <w:jc w:val="left"/>
            </w:pPr>
            <w:r>
              <w:t xml:space="preserve">Warranty: 2 yrs</w:t>
            </w:r>
          </w:p>
        </w:tc>
      </w:tr>
      <w:tr>
        <w:tc>
          <w:tcPr/>
          <w:p>
            <w:pPr>
              <w:pStyle w:val="Compact"/>
              <w:jc w:val="left"/>
            </w:pPr>
            <w:r>
              <w:t xml:space="preserve">2</w:t>
            </w:r>
          </w:p>
        </w:tc>
        <w:tc>
          <w:tcPr/>
          <w:p>
            <w:pPr>
              <w:pStyle w:val="Compact"/>
              <w:jc w:val="left"/>
            </w:pPr>
            <w:r>
              <w:t xml:space="preserve">Digital Thermometer (Infrared Forehead, Braun TFS6020) – patient triage equipment</w:t>
            </w:r>
          </w:p>
        </w:tc>
        <w:tc>
          <w:tcPr/>
          <w:p>
            <w:pPr>
              <w:pStyle w:val="Compact"/>
              <w:jc w:val="left"/>
            </w:pPr>
            <w:r>
              <w:t xml:space="preserve">MS-DTG-6020</w:t>
            </w:r>
          </w:p>
        </w:tc>
        <w:tc>
          <w:tcPr/>
          <w:p>
            <w:pPr>
              <w:pStyle w:val="Compact"/>
              <w:jc w:val="left"/>
            </w:pPr>
            <w:r>
              <w:t xml:space="preserve">6</w:t>
            </w:r>
          </w:p>
        </w:tc>
        <w:tc>
          <w:tcPr/>
          <w:p>
            <w:pPr>
              <w:pStyle w:val="Compact"/>
              <w:jc w:val="left"/>
            </w:pPr>
            <w:r>
              <w:t xml:space="preserve">2,150.00</w:t>
            </w:r>
          </w:p>
        </w:tc>
        <w:tc>
          <w:tcPr/>
          <w:p>
            <w:pPr>
              <w:pStyle w:val="Compact"/>
              <w:jc w:val="left"/>
            </w:pPr>
            <w:r>
              <w:t xml:space="preserve">12,900.00</w:t>
            </w:r>
          </w:p>
        </w:tc>
        <w:tc>
          <w:tcPr/>
          <w:p>
            <w:pPr>
              <w:pStyle w:val="Compact"/>
              <w:jc w:val="left"/>
            </w:pPr>
            <w:r>
              <w:t xml:space="preserve">Warranty: 1 yr</w:t>
            </w:r>
          </w:p>
        </w:tc>
      </w:tr>
      <w:tr>
        <w:tc>
          <w:tcPr/>
          <w:p>
            <w:pPr>
              <w:pStyle w:val="Compact"/>
              <w:jc w:val="left"/>
            </w:pPr>
            <w:r>
              <w:t xml:space="preserve">3</w:t>
            </w:r>
          </w:p>
        </w:tc>
        <w:tc>
          <w:tcPr/>
          <w:p>
            <w:pPr>
              <w:pStyle w:val="Compact"/>
              <w:jc w:val="left"/>
            </w:pPr>
            <w:r>
              <w:t xml:space="preserve">Stethoscope (Littmann Classic III, Dual Head) – primary diagnostic tool for the Doctor General Practitioner</w:t>
            </w:r>
          </w:p>
        </w:tc>
        <w:tc>
          <w:tcPr/>
          <w:p>
            <w:pPr>
              <w:pStyle w:val="Compact"/>
              <w:jc w:val="left"/>
            </w:pPr>
            <w:r>
              <w:t xml:space="preserve">MS-STH-CL3</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c>
          <w:tcPr/>
          <w:p>
            <w:pPr>
              <w:pStyle w:val="Compact"/>
              <w:jc w:val="left"/>
            </w:pPr>
            <w:r>
              <w:t xml:space="preserve">Warranty: 3 yrs</w:t>
            </w:r>
          </w:p>
        </w:tc>
      </w:tr>
      <w:tr>
        <w:tc>
          <w:tcPr/>
          <w:p>
            <w:pPr>
              <w:pStyle w:val="Compact"/>
              <w:jc w:val="left"/>
            </w:pPr>
            <w:r>
              <w:t xml:space="preserve">4</w:t>
            </w:r>
          </w:p>
        </w:tc>
        <w:tc>
          <w:tcPr/>
          <w:p>
            <w:pPr>
              <w:pStyle w:val="Compact"/>
              <w:jc w:val="left"/>
            </w:pPr>
            <w:r>
              <w:t xml:space="preserve">Portable Pulse Oximeter (Fingertip, Nonin 2300) – oxygen saturation monitoring</w:t>
            </w:r>
          </w:p>
        </w:tc>
        <w:tc>
          <w:tcPr/>
          <w:p>
            <w:pPr>
              <w:pStyle w:val="Compact"/>
              <w:jc w:val="left"/>
            </w:pPr>
            <w:r>
              <w:t xml:space="preserve">MS-POX-2300</w:t>
            </w:r>
          </w:p>
        </w:tc>
        <w:tc>
          <w:tcPr/>
          <w:p>
            <w:pPr>
              <w:pStyle w:val="Compact"/>
              <w:jc w:val="left"/>
            </w:pPr>
            <w:r>
              <w:t xml:space="preserve">5</w:t>
            </w:r>
          </w:p>
        </w:tc>
        <w:tc>
          <w:tcPr/>
          <w:p>
            <w:pPr>
              <w:pStyle w:val="Compact"/>
              <w:jc w:val="left"/>
            </w:pPr>
            <w:r>
              <w:t xml:space="preserve">1,850.00</w:t>
            </w:r>
          </w:p>
        </w:tc>
        <w:tc>
          <w:tcPr/>
          <w:p>
            <w:pPr>
              <w:pStyle w:val="Compact"/>
              <w:jc w:val="left"/>
            </w:pPr>
            <w:r>
              <w:t xml:space="preserve">9,250.00</w:t>
            </w:r>
          </w:p>
        </w:tc>
        <w:tc>
          <w:tcPr/>
          <w:p>
            <w:pPr>
              <w:pStyle w:val="Compact"/>
              <w:jc w:val="left"/>
            </w:pPr>
            <w:r>
              <w:t xml:space="preserve">Warranty: 1 yr</w:t>
            </w:r>
          </w:p>
        </w:tc>
      </w:tr>
      <w:tr>
        <w:tc>
          <w:tcPr/>
          <w:p>
            <w:pPr>
              <w:pStyle w:val="Compact"/>
              <w:jc w:val="left"/>
            </w:pPr>
            <w:r>
              <w:t xml:space="preserve">5</w:t>
            </w:r>
          </w:p>
        </w:tc>
        <w:tc>
          <w:tcPr/>
          <w:p>
            <w:pPr>
              <w:pStyle w:val="Compact"/>
              <w:jc w:val="left"/>
            </w:pPr>
            <w:r>
              <w:t xml:space="preserve">Examination Table with Adjustable Backrest (190cm x 60cm) – patient consultation furniture</w:t>
            </w:r>
          </w:p>
        </w:tc>
        <w:tc>
          <w:tcPr/>
          <w:p>
            <w:pPr>
              <w:pStyle w:val="Compact"/>
              <w:jc w:val="left"/>
            </w:pPr>
            <w:r>
              <w:t xml:space="preserve">MS-EXT-190</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Assembly incl.</w:t>
            </w:r>
          </w:p>
        </w:tc>
      </w:tr>
      <w:tr>
        <w:tc>
          <w:tcPr/>
          <w:p>
            <w:pPr>
              <w:pStyle w:val="Compact"/>
              <w:jc w:val="left"/>
            </w:pPr>
            <w:r>
              <w:t xml:space="preserve">6</w:t>
            </w:r>
          </w:p>
        </w:tc>
        <w:tc>
          <w:tcPr/>
          <w:p>
            <w:pPr>
              <w:pStyle w:val="Compact"/>
              <w:jc w:val="left"/>
            </w:pPr>
            <w:r>
              <w:t xml:space="preserve">Disposable Nitrile Examination Gloves (Box of 100, Medium) – infection control supplies</w:t>
            </w:r>
          </w:p>
        </w:tc>
        <w:tc>
          <w:tcPr/>
          <w:p>
            <w:pPr>
              <w:pStyle w:val="Compact"/>
              <w:jc w:val="left"/>
            </w:pPr>
            <w:r>
              <w:t xml:space="preserve">MS-GLV-NIT-M</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9,250.00</w:t>
            </w:r>
          </w:p>
        </w:tc>
        <w:tc>
          <w:tcPr/>
          <w:p>
            <w:pPr>
              <w:pStyle w:val="Compact"/>
              <w:jc w:val="left"/>
            </w:pPr>
            <w:r>
              <w:t xml:space="preserve">6-month supply</w:t>
            </w:r>
          </w:p>
        </w:tc>
      </w:tr>
      <w:tr>
        <w:tc>
          <w:tcPr/>
          <w:p>
            <w:pPr>
              <w:pStyle w:val="Compact"/>
              <w:jc w:val="left"/>
            </w:pPr>
            <w:r>
              <w:t xml:space="preserve">7</w:t>
            </w:r>
          </w:p>
        </w:tc>
        <w:tc>
          <w:tcPr/>
          <w:p>
            <w:pPr>
              <w:pStyle w:val="Compact"/>
              <w:jc w:val="left"/>
            </w:pPr>
            <w:r>
              <w:t xml:space="preserve">Surgical Face Masks (3-Ply, Box of 50) – PPE for Doctor General Practitioner and staff</w:t>
            </w:r>
          </w:p>
        </w:tc>
        <w:tc>
          <w:tcPr/>
          <w:p>
            <w:pPr>
              <w:pStyle w:val="Compact"/>
              <w:jc w:val="left"/>
            </w:pPr>
            <w:r>
              <w:t xml:space="preserve">MS-MSK-3PL</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12,800.00</w:t>
            </w:r>
          </w:p>
        </w:tc>
        <w:tc>
          <w:tcPr/>
          <w:p>
            <w:pPr>
              <w:pStyle w:val="Compact"/>
              <w:jc w:val="left"/>
            </w:pPr>
            <w:r>
              <w:t xml:space="preserve">6-month supply</w:t>
            </w:r>
          </w:p>
        </w:tc>
      </w:tr>
      <w:tr>
        <w:tc>
          <w:tcPr/>
          <w:p>
            <w:pPr>
              <w:pStyle w:val="Compact"/>
              <w:jc w:val="left"/>
            </w:pPr>
            <w:r>
              <w:t xml:space="preserve">8</w:t>
            </w:r>
          </w:p>
        </w:tc>
        <w:tc>
          <w:tcPr/>
          <w:p>
            <w:pPr>
              <w:pStyle w:val="Compact"/>
              <w:jc w:val="left"/>
            </w:pPr>
            <w:r>
              <w:t xml:space="preserve">Portable ECG Machine (12-Lead, Philips HeartStart MRx) – cardiac screening for general practice</w:t>
            </w:r>
          </w:p>
        </w:tc>
        <w:tc>
          <w:tcPr/>
          <w:p>
            <w:pPr>
              <w:pStyle w:val="Compact"/>
              <w:jc w:val="left"/>
            </w:pPr>
            <w:r>
              <w:t xml:space="preserve">MS-ECG-MRX</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Warranty: 3 yrs</w:t>
            </w:r>
          </w:p>
        </w:tc>
      </w:tr>
      <w:tr>
        <w:tc>
          <w:tcPr/>
          <w:p>
            <w:pPr>
              <w:pStyle w:val="Compact"/>
              <w:jc w:val="left"/>
            </w:pPr>
            <w:r>
              <w:t xml:space="preserve">9</w:t>
            </w:r>
          </w:p>
        </w:tc>
        <w:tc>
          <w:tcPr/>
          <w:p>
            <w:pPr>
              <w:pStyle w:val="Compact"/>
              <w:jc w:val="left"/>
            </w:pPr>
            <w:r>
              <w:t xml:space="preserve">Medical Waste Disposal Bins (4-Liter, Color-Coded Set of 4) – DOH-compliant disposal</w:t>
            </w:r>
          </w:p>
        </w:tc>
        <w:tc>
          <w:tcPr/>
          <w:p>
            <w:pPr>
              <w:pStyle w:val="Compact"/>
              <w:jc w:val="left"/>
            </w:pPr>
            <w:r>
              <w:t xml:space="preserve">MS-WST-4L</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c>
          <w:tcPr/>
          <w:p>
            <w:pPr>
              <w:pStyle w:val="Compact"/>
              <w:jc w:val="left"/>
            </w:pPr>
            <w:r>
              <w:t xml:space="preserve">DOH standard</w:t>
            </w:r>
          </w:p>
        </w:tc>
      </w:tr>
      <w:tr>
        <w:tc>
          <w:tcPr/>
          <w:p>
            <w:pPr>
              <w:pStyle w:val="Compact"/>
              <w:jc w:val="left"/>
            </w:pPr>
            <w:r>
              <w:t xml:space="preserve">10</w:t>
            </w:r>
          </w:p>
        </w:tc>
        <w:tc>
          <w:tcPr/>
          <w:p>
            <w:pPr>
              <w:pStyle w:val="Compact"/>
              <w:jc w:val="left"/>
            </w:pPr>
            <w:r>
              <w:t xml:space="preserve">Autoclave Sterilizer (18L, Tabletop) – instrument sterilization for the Doctor General Practitioner clinic</w:t>
            </w:r>
          </w:p>
        </w:tc>
        <w:tc>
          <w:tcPr/>
          <w:p>
            <w:pPr>
              <w:pStyle w:val="Compact"/>
              <w:jc w:val="left"/>
            </w:pPr>
            <w:r>
              <w:t xml:space="preserve">MS-ACL-18L</w:t>
            </w:r>
          </w:p>
        </w:tc>
        <w:tc>
          <w:tcPr/>
          <w:p>
            <w:pPr>
              <w:pStyle w:val="Compact"/>
              <w:jc w:val="left"/>
            </w:pPr>
            <w:r>
              <w:t xml:space="preserve">1</w:t>
            </w:r>
          </w:p>
        </w:tc>
        <w:tc>
          <w:tcPr/>
          <w:p>
            <w:pPr>
              <w:pStyle w:val="Compact"/>
              <w:jc w:val="left"/>
            </w:pPr>
            <w:r>
              <w:t xml:space="preserve">32,500.00</w:t>
            </w:r>
          </w:p>
        </w:tc>
        <w:tc>
          <w:tcPr/>
          <w:p>
            <w:pPr>
              <w:pStyle w:val="Compact"/>
              <w:jc w:val="left"/>
            </w:pPr>
            <w:r>
              <w:t xml:space="preserve">32,500.00</w:t>
            </w:r>
          </w:p>
        </w:tc>
        <w:tc>
          <w:tcPr/>
          <w:p>
            <w:pPr>
              <w:pStyle w:val="Compact"/>
              <w:jc w:val="left"/>
            </w:pPr>
            <w:r>
              <w:t xml:space="preserve">Warranty: 2 yrs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PHP 293,900.00</w:t>
            </w:r>
          </w:p>
        </w:tc>
      </w:tr>
      <w:tr>
        <w:tc>
          <w:tcPr/>
          <w:p>
            <w:pPr>
              <w:pStyle w:val="Compact"/>
              <w:jc w:val="left"/>
            </w:pPr>
            <w:r>
              <w:t xml:space="preserve">VAT (12%):</w:t>
            </w:r>
          </w:p>
        </w:tc>
        <w:tc>
          <w:tcPr/>
          <w:p>
            <w:pPr>
              <w:pStyle w:val="Compact"/>
              <w:jc w:val="right"/>
            </w:pPr>
            <w:r>
              <w:t xml:space="preserve">PHP 35,268.00</w:t>
            </w:r>
          </w:p>
        </w:tc>
      </w:tr>
      <w:tr>
        <w:tc>
          <w:tcPr/>
          <w:p>
            <w:pPr>
              <w:pStyle w:val="Compact"/>
              <w:jc w:val="left"/>
            </w:pPr>
            <w:r>
              <w:t xml:space="preserve">Delivery &amp; Installation (Philippines Manila Metro):</w:t>
            </w:r>
          </w:p>
        </w:tc>
        <w:tc>
          <w:tcPr/>
          <w:p>
            <w:pPr>
              <w:pStyle w:val="Compact"/>
              <w:jc w:val="right"/>
            </w:pPr>
            <w:r>
              <w:t xml:space="preserve">PHP 5,500.00</w:t>
            </w:r>
          </w:p>
        </w:tc>
      </w:tr>
      <w:tr>
        <w:tc>
          <w:tcPr/>
          <w:p>
            <w:pPr>
              <w:pStyle w:val="Compact"/>
              <w:jc w:val="left"/>
            </w:pPr>
            <w:r>
              <w:t xml:space="preserve">GRAND TOTAL:</w:t>
            </w:r>
          </w:p>
        </w:tc>
        <w:tc>
          <w:tcPr/>
          <w:p>
            <w:pPr>
              <w:pStyle w:val="Compact"/>
              <w:jc w:val="right"/>
            </w:pPr>
            <w:r>
              <w:t xml:space="preserve">PHP 334,668.00</w:t>
            </w:r>
          </w:p>
        </w:tc>
      </w:tr>
    </w:tbl>
    <w:p>
      <w:pPr>
        <w:pStyle w:val="BodyText"/>
      </w:pPr>
      <w:r>
        <w:rPr>
          <w:bCs/>
          <w:b/>
        </w:rPr>
        <w:t xml:space="preserve">NOTE:</w:t>
      </w:r>
      <w:r>
        <w:t xml:space="preserve"> </w:t>
      </w:r>
      <w:r>
        <w:t xml:space="preserve">This Purchase Order is issued by Dr. Maria L. Santos, a licensed Doctor General Practitioner registered with the Philippine Board of Medicine and the Professional Regulation Commission (PRC License No. 2018-004521), for the operational needs of her general practice clinic located in the Philippines Manila metropolitan area. All items listed herein are intended to support the delivery of primary healthcare services to patients in the Philippines Manila community.</w:t>
      </w:r>
    </w:p>
    <w:bookmarkEnd w:id="23"/>
    <w:bookmarkStart w:id="24"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shall be considered accepted upon written confirmation by MediSupply Philippines, Inc. within five (5) business days from the date of issue. Failure to confirm within this period shall constitute rejection of this Purchase Order.</w:t>
      </w:r>
    </w:p>
    <w:p>
      <w:pPr>
        <w:numPr>
          <w:ilvl w:val="0"/>
          <w:numId w:val="1001"/>
        </w:numPr>
        <w:pStyle w:val="Compact"/>
      </w:pPr>
      <w:r>
        <w:rPr>
          <w:bCs/>
          <w:b/>
        </w:rPr>
        <w:t xml:space="preserve">Delivery:</w:t>
      </w:r>
      <w:r>
        <w:t xml:space="preserve"> </w:t>
      </w:r>
      <w:r>
        <w:t xml:space="preserve">All items must be delivered to the Santos General Practice Clinic address in Philippines Manila no later than June 26, 2025. Delivery shall be made between 8:00 AM and 5:00 PM, Monday through Friday. The supplier is responsible for all transportation costs within the Philippines Manila metro area.</w:t>
      </w:r>
    </w:p>
    <w:p>
      <w:pPr>
        <w:numPr>
          <w:ilvl w:val="0"/>
          <w:numId w:val="1001"/>
        </w:numPr>
        <w:pStyle w:val="Compact"/>
      </w:pPr>
      <w:r>
        <w:rPr>
          <w:bCs/>
          <w:b/>
        </w:rPr>
        <w:t xml:space="preserve">Quality Assurance:</w:t>
      </w:r>
      <w:r>
        <w:t xml:space="preserve"> </w:t>
      </w:r>
      <w:r>
        <w:t xml:space="preserve">All medical equipment and supplies must be new, unused, and in full compliance with the Food and Drug Administration of the Philippines (FDA Philippines) standards. The Doctor General Practitioner reserves the right to inspect and reject any items that do not meet the specified quality requirements upon delivery.</w:t>
      </w:r>
    </w:p>
    <w:p>
      <w:pPr>
        <w:numPr>
          <w:ilvl w:val="0"/>
          <w:numId w:val="1001"/>
        </w:numPr>
        <w:pStyle w:val="Compact"/>
      </w:pPr>
      <w:r>
        <w:rPr>
          <w:bCs/>
          <w:b/>
        </w:rPr>
        <w:t xml:space="preserve">Payment:</w:t>
      </w:r>
      <w:r>
        <w:t xml:space="preserve"> </w:t>
      </w:r>
      <w:r>
        <w:t xml:space="preserve">Payment shall be made via bank transfer to the supplier's designated account within thirty (30) calendar days from the date of confirmed delivery and acceptance of all items. The total amount due is PHP 334,668.00 (Three Hundred Thirty-Four Thousand Six Hundred Sixty-Eight Philippine Pesos and 00/100 only).</w:t>
      </w:r>
    </w:p>
    <w:p>
      <w:pPr>
        <w:numPr>
          <w:ilvl w:val="0"/>
          <w:numId w:val="1001"/>
        </w:numPr>
        <w:pStyle w:val="Compact"/>
      </w:pPr>
      <w:r>
        <w:rPr>
          <w:bCs/>
          <w:b/>
        </w:rPr>
        <w:t xml:space="preserve">Warranty:</w:t>
      </w:r>
      <w:r>
        <w:t xml:space="preserve"> </w:t>
      </w:r>
      <w:r>
        <w:t xml:space="preserve">All equipment items carry the manufacturer's warranty as indicated in the Remarks column. The supplier shall coordinate any warranty claims on behalf of the Doctor General Practitioner during the warranty period.</w:t>
      </w:r>
    </w:p>
    <w:p>
      <w:pPr>
        <w:numPr>
          <w:ilvl w:val="0"/>
          <w:numId w:val="1001"/>
        </w:numPr>
        <w:pStyle w:val="Compact"/>
      </w:pPr>
      <w:r>
        <w:rPr>
          <w:bCs/>
          <w:b/>
        </w:rPr>
        <w:t xml:space="preserve">Compliance:</w:t>
      </w:r>
      <w:r>
        <w:t xml:space="preserve"> </w:t>
      </w:r>
      <w:r>
        <w:t xml:space="preserve">The supplier warrants that all items comply with the Philippine Department of Health (DOH) regulations, the FDA Philippines product registration requirements, and all applicable laws of the Republic of the Philippines governing the sale and distribution of medical supplies in the Philippines Manila region.</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If unresolved, the matter shall be submitted to the courts of competent jurisdiction in the Philippines Manila, specifically the Regional Trial Court of Makati City.</w:t>
      </w:r>
    </w:p>
    <w:p>
      <w:pPr>
        <w:numPr>
          <w:ilvl w:val="0"/>
          <w:numId w:val="1001"/>
        </w:numPr>
        <w:pStyle w:val="Compact"/>
      </w:pPr>
      <w:r>
        <w:rPr>
          <w:bCs/>
          <w:b/>
        </w:rPr>
        <w:t xml:space="preserve">Force Majeure:</w:t>
      </w:r>
      <w:r>
        <w:t xml:space="preserve"> </w:t>
      </w:r>
      <w:r>
        <w:t xml:space="preserve">Neither party shall be liable for delays caused by natural disasters, government-mandated closures, or other events beyond reasonable control, as may be applicable under Philippine law.</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including the Civil Code of the Philippines and the Philippine Tax Code.</w:t>
      </w:r>
    </w:p>
    <w:bookmarkEnd w:id="24"/>
    <w:bookmarkStart w:id="25" w:name="authorization-and-signatures"/>
    <w:p>
      <w:pPr>
        <w:pStyle w:val="Heading2"/>
      </w:pPr>
      <w:r>
        <w:t xml:space="preserve">Authorization and Signatures</w:t>
      </w:r>
    </w:p>
    <w:p>
      <w:pPr>
        <w:pStyle w:val="FirstParagraph"/>
      </w:pPr>
      <w:r>
        <w:rPr>
          <w:bCs/>
          <w:b/>
        </w:rPr>
        <w:t xml:space="preserve">Prepared and Authorized By:</w:t>
      </w:r>
      <w:r>
        <w:br/>
      </w:r>
      <w:r>
        <w:t xml:space="preserve">Dr. Maria L. Santos, M.D.</w:t>
      </w:r>
      <w:r>
        <w:br/>
      </w:r>
      <w:r>
        <w:t xml:space="preserve">Doctor General Practitioner</w:t>
      </w:r>
      <w:r>
        <w:br/>
      </w:r>
      <w:r>
        <w:t xml:space="preserve">Santos General Practice Clinic</w:t>
      </w:r>
      <w:r>
        <w:br/>
      </w:r>
      <w:r>
        <w:t xml:space="preserve">Philippines Manila</w:t>
      </w:r>
      <w:r>
        <w:br/>
      </w:r>
      <w:r>
        <w:t xml:space="preserve">Date: ______________________</w:t>
      </w:r>
    </w:p>
    <w:p>
      <w:pPr>
        <w:pStyle w:val="BodyText"/>
      </w:pPr>
      <w:r>
        <w:rPr>
          <w:bCs/>
          <w:b/>
        </w:rPr>
        <w:t xml:space="preserve">Accepted and Confirmed By:</w:t>
      </w:r>
      <w:r>
        <w:br/>
      </w:r>
      <w:r>
        <w:t xml:space="preserve">______________________________</w:t>
      </w:r>
      <w:r>
        <w:br/>
      </w:r>
      <w:r>
        <w:t xml:space="preserve">Authorized Representative</w:t>
      </w:r>
      <w:r>
        <w:br/>
      </w:r>
      <w:r>
        <w:t xml:space="preserve">MediSupply Philippines, Inc.</w:t>
      </w:r>
      <w:r>
        <w:br/>
      </w:r>
      <w:r>
        <w:t xml:space="preserve">Philippines Manila</w:t>
      </w:r>
      <w:r>
        <w:br/>
      </w:r>
      <w:r>
        <w:t xml:space="preserve">Date: ______________________</w:t>
      </w:r>
    </w:p>
    <w:p>
      <w:pPr>
        <w:pStyle w:val="BodyText"/>
      </w:pPr>
      <w:r>
        <w:t xml:space="preserve">This Purchase Order (PO-2025-MNL-00472) is a legally binding document issued for the procurement of medical supplies and equipment for a Doctor General Practitioner practice in the Philippines Manila. This document is valid for a period of thirty (30) days from the date of issue. Unauthorized reproduction or distribution of this Purchase Order is strictly prohibited under Philippine intellectual property law.</w:t>
      </w:r>
    </w:p>
    <w:p>
      <w:pPr>
        <w:pStyle w:val="BodyText"/>
      </w:pPr>
      <w:r>
        <w:t xml:space="preserve">Document Reference: PO-2025-MNL-00472 | Philippines Manila | Doctor General Practitioner Procurement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Philippines Manila</dc:title>
  <dc:creator/>
  <dc:language>en</dc:language>
  <cp:keywords/>
  <dcterms:created xsi:type="dcterms:W3CDTF">2026-10-10T09:07:29Z</dcterms:created>
  <dcterms:modified xsi:type="dcterms:W3CDTF">2026-10-10T09:07:29Z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