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Procurement of Medical Services – Doctor General Practitioner Engagement</w:t>
      </w:r>
    </w:p>
    <w:p>
      <w:pPr>
        <w:pStyle w:val="BodyText"/>
      </w:pPr>
      <w:r>
        <w:t xml:space="preserve">Kingdom of Saudi Arabia – Riyadh Region</w:t>
      </w:r>
    </w:p>
    <w:bookmarkEnd w:id="20"/>
    <w:p>
      <w:pPr>
        <w:pStyle w:val="BodyText"/>
      </w:pPr>
      <w:r>
        <w:t xml:space="preserve">Purchase Order Number:</w:t>
      </w:r>
      <w:r>
        <w:t xml:space="preserve"> </w:t>
      </w:r>
      <w:r>
        <w:t xml:space="preserve">PO-SAR-2025-07842</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December 2025</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Al-Nakheel Health &amp; Wellness Group</w:t>
            </w:r>
          </w:p>
        </w:tc>
        <w:tc>
          <w:tcPr/>
          <w:p>
            <w:pPr>
              <w:pStyle w:val="Compact"/>
              <w:jc w:val="left"/>
            </w:pPr>
            <w:r>
              <w:rPr>
                <w:bCs/>
                <w:b/>
              </w:rPr>
              <w:t xml:space="preserve">CR Number:</w:t>
            </w:r>
            <w:r>
              <w:t xml:space="preserve"> </w:t>
            </w:r>
            <w:r>
              <w:t xml:space="preserve">1010XXXXXX</w:t>
            </w:r>
          </w:p>
        </w:tc>
      </w:tr>
      <w:tr>
        <w:tc>
          <w:tcPr/>
          <w:p>
            <w:pPr>
              <w:pStyle w:val="Compact"/>
              <w:jc w:val="left"/>
            </w:pPr>
            <w:r>
              <w:rPr>
                <w:bCs/>
                <w:b/>
              </w:rPr>
              <w:t xml:space="preserve">Address:</w:t>
            </w:r>
            <w:r>
              <w:t xml:space="preserve"> </w:t>
            </w:r>
            <w:r>
              <w:t xml:space="preserve">King Fahd Road, Al Olaya District, Riyadh 12212, Saudi Arabia</w:t>
            </w:r>
          </w:p>
        </w:tc>
        <w:tc>
          <w:tcPr/>
          <w:p>
            <w:pPr>
              <w:pStyle w:val="Compact"/>
              <w:jc w:val="left"/>
            </w:pPr>
            <w:r>
              <w:rPr>
                <w:bCs/>
                <w:b/>
              </w:rPr>
              <w:t xml:space="preserve">VAT Number:</w:t>
            </w:r>
            <w:r>
              <w:t xml:space="preserve"> </w:t>
            </w:r>
            <w:r>
              <w:t xml:space="preserve">3101XXXXXX00003</w:t>
            </w:r>
          </w:p>
        </w:tc>
      </w:tr>
      <w:tr>
        <w:tc>
          <w:tcPr/>
          <w:p>
            <w:pPr>
              <w:pStyle w:val="Compact"/>
              <w:jc w:val="left"/>
            </w:pPr>
            <w:r>
              <w:rPr>
                <w:bCs/>
                <w:b/>
              </w:rPr>
              <w:t xml:space="preserve">Contact Person:</w:t>
            </w:r>
            <w:r>
              <w:t xml:space="preserve"> </w:t>
            </w:r>
            <w:r>
              <w:t xml:space="preserve">Dr. Khalid Al-Rashid, Procurement Director</w:t>
            </w:r>
          </w:p>
        </w:tc>
        <w:tc>
          <w:tcPr/>
          <w:p>
            <w:pPr>
              <w:pStyle w:val="Compact"/>
              <w:jc w:val="left"/>
            </w:pPr>
            <w:r>
              <w:rPr>
                <w:bCs/>
                <w:b/>
              </w:rPr>
              <w:t xml:space="preserve">Email:</w:t>
            </w:r>
            <w:r>
              <w:t xml:space="preserve"> </w:t>
            </w:r>
            <w:r>
              <w:t xml:space="preserve">procurement@alnakheel-health.sa</w:t>
            </w:r>
          </w:p>
        </w:tc>
      </w:tr>
    </w:tbl>
    <w:p>
      <w:pPr>
        <w:pStyle w:val="BodyText"/>
      </w:pPr>
      <w:r>
        <w:t xml:space="preserve">2. Service Provider (Supplier)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r>
              <w:t xml:space="preserve"> </w:t>
            </w:r>
            <w:r>
              <w:t xml:space="preserve">Dr. Sarah Al-Mutairi, Doctor General Practitioner</w:t>
            </w:r>
          </w:p>
        </w:tc>
        <w:tc>
          <w:tcPr/>
          <w:p>
            <w:pPr>
              <w:pStyle w:val="Compact"/>
              <w:jc w:val="left"/>
            </w:pPr>
            <w:r>
              <w:rPr>
                <w:bCs/>
                <w:b/>
              </w:rPr>
              <w:t xml:space="preserve">Medical License No.:</w:t>
            </w:r>
            <w:r>
              <w:t xml:space="preserve"> </w:t>
            </w:r>
            <w:r>
              <w:t xml:space="preserve">MCI-2024-0098765</w:t>
            </w:r>
          </w:p>
        </w:tc>
      </w:tr>
      <w:tr>
        <w:tc>
          <w:tcPr/>
          <w:p>
            <w:pPr>
              <w:pStyle w:val="Compact"/>
              <w:jc w:val="left"/>
            </w:pPr>
            <w:r>
              <w:rPr>
                <w:bCs/>
                <w:b/>
              </w:rPr>
              <w:t xml:space="preserve">Specialization:</w:t>
            </w:r>
            <w:r>
              <w:t xml:space="preserve"> </w:t>
            </w:r>
            <w:r>
              <w:t xml:space="preserve">General Practice / Family Medicine</w:t>
            </w:r>
          </w:p>
        </w:tc>
        <w:tc>
          <w:tcPr/>
          <w:p>
            <w:pPr>
              <w:pStyle w:val="Compact"/>
              <w:jc w:val="left"/>
            </w:pPr>
            <w:r>
              <w:rPr>
                <w:bCs/>
                <w:b/>
              </w:rPr>
              <w:t xml:space="preserve">Registration Authority:</w:t>
            </w:r>
            <w:r>
              <w:t xml:space="preserve"> </w:t>
            </w:r>
            <w:r>
              <w:t xml:space="preserve">Saudi Commission for Health Specialties (SCFHS)</w:t>
            </w:r>
          </w:p>
        </w:tc>
      </w:tr>
      <w:tr>
        <w:tc>
          <w:tcPr/>
          <w:p>
            <w:pPr>
              <w:pStyle w:val="Compact"/>
              <w:jc w:val="left"/>
            </w:pPr>
            <w:r>
              <w:rPr>
                <w:bCs/>
                <w:b/>
              </w:rPr>
              <w:t xml:space="preserve">Practice Address:</w:t>
            </w:r>
            <w:r>
              <w:t xml:space="preserve"> </w:t>
            </w:r>
            <w:r>
              <w:t xml:space="preserve">Olaya Medical Center, 4th Floor, King Fahd Road, Riyadh, Saudi Arabia</w:t>
            </w:r>
          </w:p>
        </w:tc>
        <w:tc>
          <w:tcPr/>
          <w:p>
            <w:pPr>
              <w:pStyle w:val="Compact"/>
              <w:jc w:val="left"/>
            </w:pPr>
            <w:r>
              <w:rPr>
                <w:bCs/>
                <w:b/>
              </w:rPr>
              <w:t xml:space="preserve">Contact:</w:t>
            </w:r>
            <w:r>
              <w:t xml:space="preserve"> </w:t>
            </w:r>
            <w:r>
              <w:t xml:space="preserve">+966 55 XXX XXXX</w:t>
            </w:r>
          </w:p>
        </w:tc>
      </w:tr>
    </w:tbl>
    <w:p>
      <w:pPr>
        <w:pStyle w:val="BodyText"/>
      </w:pPr>
      <w:r>
        <w:t xml:space="preserve">3. Scope of Services – Doctor General Practitioner</w:t>
      </w:r>
    </w:p>
    <w:p>
      <w:pPr>
        <w:pStyle w:val="BodyText"/>
      </w:pPr>
      <w:r>
        <w:t xml:space="preserve">This Purchase Order is issued by Al-Nakheel Health &amp; Wellness Group to formally engage the services of a qualified Doctor General Practitioner for the provision of comprehensive primary healthcare services within the Riyadh metropolitan area of Saudi Arabia. The Doctor General Practitioner shall be responsible for the diagnosis, treatment, and ongoing management of common medical conditions, preventive health screenings, chronic disease monitoring, and referral coordination for patients registered under the corporate wellness program. All services shall be rendered in accordance with the regulations set forth by the Saudi Ministry of Health and the Saudi Food and Drug Authority (SFDA).</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Doctor General Practitioner – Full-time clinical consultation services (8 hours/day, 5 days/week) at the Riyadh corporate clinic</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Preventive health check-up packages administered by the Doctor General Practitioner (annual screening for 500 corporate employees)</w:t>
            </w:r>
          </w:p>
        </w:tc>
        <w:tc>
          <w:tcPr/>
          <w:p>
            <w:pPr>
              <w:pStyle w:val="Compact"/>
              <w:jc w:val="left"/>
            </w:pPr>
            <w:r>
              <w:t xml:space="preserve">500 patients</w:t>
            </w:r>
          </w:p>
        </w:tc>
        <w:tc>
          <w:tcPr/>
          <w:p>
            <w:pPr>
              <w:pStyle w:val="Compact"/>
              <w:jc w:val="left"/>
            </w:pPr>
            <w:r>
              <w:t xml:space="preserve">350</w:t>
            </w:r>
          </w:p>
        </w:tc>
        <w:tc>
          <w:tcPr/>
          <w:p>
            <w:pPr>
              <w:pStyle w:val="Compact"/>
              <w:jc w:val="left"/>
            </w:pPr>
            <w:r>
              <w:t xml:space="preserve">175,000</w:t>
            </w:r>
          </w:p>
        </w:tc>
      </w:tr>
      <w:tr>
        <w:tc>
          <w:tcPr/>
          <w:p>
            <w:pPr>
              <w:pStyle w:val="Compact"/>
              <w:jc w:val="left"/>
            </w:pPr>
            <w:r>
              <w:t xml:space="preserve">03</w:t>
            </w:r>
          </w:p>
        </w:tc>
        <w:tc>
          <w:tcPr/>
          <w:p>
            <w:pPr>
              <w:pStyle w:val="Compact"/>
              <w:jc w:val="left"/>
            </w:pPr>
            <w:r>
              <w:t xml:space="preserve">Chronic disease management program (diabetes, hypertension) supervised by the Doctor General Practitioner</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On-call emergency consultation coverage (weekends and public holidays) – Doctor General Practitioner</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Medical records management, patient follow-up documentation, and telemedicine consultations via the Saudi Ministry of Health approved platform</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06</w:t>
            </w:r>
          </w:p>
        </w:tc>
        <w:tc>
          <w:tcPr/>
          <w:p>
            <w:pPr>
              <w:pStyle w:val="Compact"/>
              <w:jc w:val="left"/>
            </w:pPr>
            <w:r>
              <w:t xml:space="preserve">Health education workshops and wellness seminars delivered by the Doctor General Practitioner to corporate staff in Riyadh</w:t>
            </w:r>
          </w:p>
        </w:tc>
        <w:tc>
          <w:tcPr/>
          <w:p>
            <w:pPr>
              <w:pStyle w:val="Compact"/>
              <w:jc w:val="left"/>
            </w:pPr>
            <w:r>
              <w:t xml:space="preserve">24 sessions</w:t>
            </w:r>
          </w:p>
        </w:tc>
        <w:tc>
          <w:tcPr/>
          <w:p>
            <w:pPr>
              <w:pStyle w:val="Compact"/>
              <w:jc w:val="left"/>
            </w:pPr>
            <w:r>
              <w:t xml:space="preserve">3,500</w:t>
            </w:r>
          </w:p>
        </w:tc>
        <w:tc>
          <w:tcPr/>
          <w:p>
            <w:pPr>
              <w:pStyle w:val="Compact"/>
              <w:jc w:val="left"/>
            </w:pPr>
            <w:r>
              <w:t xml:space="preserve">84,000</w:t>
            </w:r>
          </w:p>
        </w:tc>
      </w:tr>
      <w:tr>
        <w:tc>
          <w:tcPr>
            <w:gridSpan w:val="4"/>
          </w:tcPr>
          <w:p>
            <w:pPr>
              <w:pStyle w:val="Compact"/>
              <w:jc w:val="left"/>
            </w:pPr>
            <w:r>
              <w:t xml:space="preserve">Subtotal</w:t>
            </w:r>
          </w:p>
        </w:tc>
        <w:tc>
          <w:tcPr/>
          <w:p>
            <w:pPr>
              <w:pStyle w:val="Compact"/>
              <w:jc w:val="left"/>
            </w:pPr>
            <w:r>
              <w:t xml:space="preserve">1,339,000</w:t>
            </w:r>
          </w:p>
        </w:tc>
      </w:tr>
      <w:tr>
        <w:tc>
          <w:tcPr>
            <w:gridSpan w:val="4"/>
          </w:tcPr>
          <w:p>
            <w:pPr>
              <w:pStyle w:val="Compact"/>
              <w:jc w:val="left"/>
            </w:pPr>
            <w:r>
              <w:t xml:space="preserve">VAT (15%)</w:t>
            </w:r>
          </w:p>
        </w:tc>
        <w:tc>
          <w:tcPr/>
          <w:p>
            <w:pPr>
              <w:pStyle w:val="Compact"/>
              <w:jc w:val="left"/>
            </w:pPr>
            <w:r>
              <w:t xml:space="preserve">200,850</w:t>
            </w:r>
          </w:p>
        </w:tc>
      </w:tr>
      <w:tr>
        <w:tc>
          <w:tcPr>
            <w:gridSpan w:val="4"/>
          </w:tcPr>
          <w:p>
            <w:pPr>
              <w:pStyle w:val="Compact"/>
              <w:jc w:val="left"/>
            </w:pPr>
            <w:r>
              <w:rPr>
                <w:bCs/>
                <w:b/>
              </w:rPr>
              <w:t xml:space="preserve">Grand Total (SAR)</w:t>
            </w:r>
          </w:p>
        </w:tc>
        <w:tc>
          <w:tcPr/>
          <w:p>
            <w:pPr>
              <w:pStyle w:val="Compact"/>
              <w:jc w:val="left"/>
            </w:pPr>
            <w:r>
              <w:rPr>
                <w:bCs/>
                <w:b/>
              </w:rPr>
              <w:t xml:space="preserve">1,539,850</w:t>
            </w:r>
          </w:p>
        </w:tc>
      </w:tr>
    </w:tbl>
    <w:p>
      <w:pPr>
        <w:pStyle w:val="BodyText"/>
      </w:pPr>
      <w:r>
        <w:t xml:space="preserve">5. Terms and Conditions</w:t>
      </w:r>
    </w:p>
    <w:p>
      <w:pPr>
        <w:pStyle w:val="BodyText"/>
      </w:pPr>
      <w:r>
        <w:rPr>
          <w:bCs/>
          <w:b/>
        </w:rPr>
        <w:t xml:space="preserve">5.1</w:t>
      </w:r>
      <w:r>
        <w:t xml:space="preserve"> </w:t>
      </w:r>
      <w:r>
        <w:t xml:space="preserve">This Purchase Order constitutes a binding agreement between the Purchasing Entity and the Doctor General Practitioner for the duration specified herein. All services shall be performed in Riyadh, Saudi Arabia, at the designated clinic facility or as otherwise agreed in writing.</w:t>
      </w:r>
    </w:p>
    <w:p>
      <w:pPr>
        <w:pStyle w:val="BodyText"/>
      </w:pPr>
      <w:r>
        <w:rPr>
          <w:bCs/>
          <w:b/>
        </w:rPr>
        <w:t xml:space="preserve">5.2</w:t>
      </w:r>
      <w:r>
        <w:t xml:space="preserve"> </w:t>
      </w:r>
      <w:r>
        <w:t xml:space="preserve">The Doctor General Practitioner shall maintain a valid medical license issued by the Saudi Commission for Health Specialties (SCFHS) throughout the entire contract period. Any lapse in licensure shall result in immediate suspension of services and potential termination of this Purchase Order.</w:t>
      </w:r>
    </w:p>
    <w:p>
      <w:pPr>
        <w:pStyle w:val="BodyText"/>
      </w:pPr>
      <w:r>
        <w:rPr>
          <w:bCs/>
          <w:b/>
        </w:rPr>
        <w:t xml:space="preserve">5.3</w:t>
      </w:r>
      <w:r>
        <w:t xml:space="preserve"> </w:t>
      </w:r>
      <w:r>
        <w:t xml:space="preserve">Payment terms: Net 30 days from the date of invoice submission. Invoices shall be submitted monthly by the 5th business day. Payment shall be made via bank transfer to the account designated by the Doctor General Practitioner. All amounts are denominated in Saudi Riyals (SAR) and are subject to 15% Value Added Tax (VAT) as per the regulations of the Zakat, Tax and Customs Authority (ZATCA) of Saudi Arabia.</w:t>
      </w:r>
    </w:p>
    <w:p>
      <w:pPr>
        <w:pStyle w:val="BodyText"/>
      </w:pPr>
      <w:r>
        <w:rPr>
          <w:bCs/>
          <w:b/>
        </w:rPr>
        <w:t xml:space="preserve">5.4</w:t>
      </w:r>
      <w:r>
        <w:t xml:space="preserve"> </w:t>
      </w:r>
      <w:r>
        <w:t xml:space="preserve">The Doctor General Practitioner shall comply with all data protection and patient confidentiality requirements under Saudi Arabian law, including the Personal Data Protection Law (PDPL) and the Saudi Ministry of Health's guidelines on medical record confidentiality.</w:t>
      </w:r>
    </w:p>
    <w:p>
      <w:pPr>
        <w:pStyle w:val="BodyText"/>
      </w:pPr>
      <w:r>
        <w:rPr>
          <w:bCs/>
          <w:b/>
        </w:rPr>
        <w:t xml:space="preserve">5.5</w:t>
      </w:r>
      <w:r>
        <w:t xml:space="preserve"> </w:t>
      </w:r>
      <w:r>
        <w:t xml:space="preserve">Termination: Either party may terminate this Purchase Order with 60 days' written notice. In the event of material breach, termination may be effected with 14 days' notice. Upon termination, all outstanding invoices for services rendered shall be settled within 30 days.</w:t>
      </w:r>
    </w:p>
    <w:p>
      <w:pPr>
        <w:pStyle w:val="BodyText"/>
      </w:pPr>
      <w:r>
        <w:rPr>
          <w:bCs/>
          <w:b/>
        </w:rPr>
        <w:t xml:space="preserve">5.6</w:t>
      </w:r>
      <w:r>
        <w:t xml:space="preserve"> </w:t>
      </w:r>
      <w:r>
        <w:t xml:space="preserve">The Doctor General Practitioner shall carry professional medical malpractice insurance with a minimum coverage of SAR 2,000,000 per claim, maintained throughout the engagement period in Saudi Arabia.</w:t>
      </w:r>
    </w:p>
    <w:p>
      <w:pPr>
        <w:pStyle w:val="BodyText"/>
      </w:pPr>
      <w:r>
        <w:rPr>
          <w:bCs/>
          <w:b/>
        </w:rPr>
        <w:t xml:space="preserve">5.7</w:t>
      </w:r>
      <w:r>
        <w:t xml:space="preserve"> </w:t>
      </w:r>
      <w:r>
        <w:t xml:space="preserve">All disputes arising from this Purchase Order shall be resolved through arbitration in Riyadh, Saudi Arabia, in accordance with the rules of the Saudi Center for Commercial Arbitration (SCCA), and the governing law shall be the laws of the Kingdom of Saudi Arabia.</w:t>
      </w:r>
    </w:p>
    <w:p>
      <w:pPr>
        <w:pStyle w:val="BodyText"/>
      </w:pPr>
      <w:r>
        <w:rPr>
          <w:bCs/>
          <w:b/>
        </w:rPr>
        <w:t xml:space="preserve">5.8</w:t>
      </w:r>
      <w:r>
        <w:t xml:space="preserve"> </w:t>
      </w:r>
      <w:r>
        <w:t xml:space="preserve">The Doctor General Practitioner shall submit monthly performance reports detailing patient visits, diagnoses, referrals, and any adverse events to the Procurement Director of Al-Nakheel Health &amp; Wellness Group.</w:t>
      </w:r>
    </w:p>
    <w:p>
      <w:pPr>
        <w:pStyle w:val="BodyText"/>
      </w:pPr>
      <w:r>
        <w:t xml:space="preserve">6. Delivery / Service Location</w:t>
      </w:r>
    </w:p>
    <w:p>
      <w:pPr>
        <w:pStyle w:val="BodyText"/>
      </w:pPr>
      <w:r>
        <w:t xml:space="preserve">All services under this Purchase Order shall be delivered at the following primary location: Al-Nakheel Corporate Health Clinic, King Fahd Road, Al Olaya District, Riyadh 12212, Kingdom of Saudi Arabia. Additional service locations within the Riyadh metropolitan area may be designated by mutual written agreement between the parties.</w:t>
      </w:r>
    </w:p>
    <w:p>
      <w:pPr>
        <w:pStyle w:val="BodyText"/>
      </w:pPr>
      <w:r>
        <w:rPr>
          <w:bCs/>
          <w:b/>
        </w:rPr>
        <w:t xml:space="preserve">Authorized Signatory – Purchasing Entity</w:t>
      </w:r>
    </w:p>
    <w:p>
      <w:pPr>
        <w:pStyle w:val="BodyText"/>
      </w:pPr>
      <w:r>
        <w:t xml:space="preserve">Dr. Khalid Al-Rashid</w:t>
      </w:r>
      <w:r>
        <w:br/>
      </w:r>
      <w:r>
        <w:t xml:space="preserve">Procurement Director</w:t>
      </w:r>
      <w:r>
        <w:br/>
      </w:r>
      <w:r>
        <w:t xml:space="preserve">Al-Nakheel Health &amp; Wellness Group</w:t>
      </w:r>
      <w:r>
        <w:br/>
      </w:r>
      <w:r>
        <w:t xml:space="preserve">Date: _______________</w:t>
      </w:r>
    </w:p>
    <w:p>
      <w:pPr>
        <w:pStyle w:val="BodyText"/>
      </w:pPr>
      <w:r>
        <w:rPr>
          <w:bCs/>
          <w:b/>
        </w:rPr>
        <w:t xml:space="preserve">Authorized Signatory – Service Provider</w:t>
      </w:r>
    </w:p>
    <w:p>
      <w:pPr>
        <w:pStyle w:val="BodyText"/>
      </w:pPr>
      <w:r>
        <w:t xml:space="preserve">Dr. Sarah Al-Mutairi</w:t>
      </w:r>
      <w:r>
        <w:br/>
      </w:r>
      <w:r>
        <w:t xml:space="preserve">Doctor General Practitioner</w:t>
      </w:r>
      <w:r>
        <w:br/>
      </w:r>
      <w:r>
        <w:t xml:space="preserve">Medical License: MCI-2024-0098765</w:t>
      </w:r>
      <w:r>
        <w:br/>
      </w:r>
      <w:r>
        <w:t xml:space="preserve">Date: _______________</w:t>
      </w:r>
    </w:p>
    <w:p>
      <w:pPr>
        <w:pStyle w:val="BodyText"/>
      </w:pPr>
      <w:r>
        <w:rPr>
          <w:bCs/>
          <w:b/>
        </w:rPr>
        <w:t xml:space="preserve">NOTE:</w:t>
      </w:r>
      <w:r>
        <w:t xml:space="preserve"> </w:t>
      </w:r>
      <w:r>
        <w:t xml:space="preserve">This Purchase Order (PO-SAR-2025-07842) is issued in accordance with the procurement policies of Al-Nakheel Health &amp; Wellness Group and the regulatory framework governing medical service engagements in Saudi Arabia. The engagement of a Doctor General Practitioner under this Purchase Order is subject to verification of credentials by the Saudi Commission for Health Specialties (SCFHS) and the Ministry of Health, Riyadh. This document is valid only when signed by both authorized parties and stamped with the official corporate seal. For any amendments or clarifications, please contact the Procurement Department at procurement@alnakheel-health.sa.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Services - Saudi Arabia Riyadh</dc:title>
  <dc:creator/>
  <dc:language>en</dc:language>
  <cp:keywords/>
  <dcterms:created xsi:type="dcterms:W3CDTF">2026-10-10T07:32:07Z</dcterms:created>
  <dcterms:modified xsi:type="dcterms:W3CDTF">2026-10-10T07:32:07Z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