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Doctor General Practitioner Medical Supply &amp; Equipment Procurement</w:t>
      </w:r>
    </w:p>
    <w:p>
      <w:pPr>
        <w:pStyle w:val="BodyText"/>
      </w:pPr>
      <w:r>
        <w:t xml:space="preserve">PO No. MIA-GP-2025-04872</w:t>
      </w:r>
    </w:p>
    <w:p>
      <w:pPr>
        <w:pStyle w:val="BodyText"/>
      </w:pPr>
      <w:r>
        <w:t xml:space="preserve">United States Miami – Florida</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MIA-GP-2025-04872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Shipping Method</w:t>
            </w:r>
          </w:p>
        </w:tc>
        <w:tc>
          <w:tcPr/>
          <w:p>
            <w:pPr>
              <w:pStyle w:val="Compact"/>
              <w:jc w:val="left"/>
            </w:pPr>
            <w:r>
              <w:t xml:space="preserve">Freight Prepaid – Ground Delivery</w:t>
            </w:r>
          </w:p>
        </w:tc>
      </w:tr>
      <w:tr>
        <w:tc>
          <w:tcPr/>
          <w:p>
            <w:pPr>
              <w:pStyle w:val="Compact"/>
              <w:jc w:val="left"/>
            </w:pPr>
            <w:r>
              <w:t xml:space="preserve">Incoterms</w:t>
            </w:r>
          </w:p>
        </w:tc>
        <w:tc>
          <w:tcPr/>
          <w:p>
            <w:pPr>
              <w:pStyle w:val="Compact"/>
              <w:jc w:val="left"/>
            </w:pPr>
            <w:r>
              <w:t xml:space="preserve">DDP (Delivered Duty Paid) – United States Miami</w:t>
            </w:r>
          </w:p>
        </w:tc>
      </w:tr>
    </w:tbl>
    <w:bookmarkEnd w:id="21"/>
    <w:bookmarkStart w:id="22" w:name="purchasing-party-buyer"/>
    <w:p>
      <w:pPr>
        <w:pStyle w:val="Heading2"/>
      </w:pPr>
      <w:r>
        <w:t xml:space="preserve">2. Purchasing Party (Buyer)</w:t>
      </w:r>
    </w:p>
    <w:p>
      <w:pPr>
        <w:pStyle w:val="FirstParagraph"/>
      </w:pPr>
      <w:r>
        <w:rPr>
          <w:bCs/>
          <w:b/>
        </w:rPr>
        <w:t xml:space="preserve">Dr. Elena M. Castellanos, M.D. – Doctor General Practitioner</w:t>
      </w:r>
      <w:r>
        <w:br/>
      </w:r>
      <w:r>
        <w:t xml:space="preserve">Castellanos Family Medicine &amp; Primary Care</w:t>
      </w:r>
      <w:r>
        <w:br/>
      </w:r>
      <w:r>
        <w:t xml:space="preserve">2847 Brickell Avenue, Suite 412</w:t>
      </w:r>
      <w:r>
        <w:br/>
      </w:r>
      <w:r>
        <w:t xml:space="preserve">United States Miami, Florida 33133</w:t>
      </w:r>
      <w:r>
        <w:br/>
      </w:r>
      <w:r>
        <w:t xml:space="preserve">Telephone: (305) 555-0192</w:t>
      </w:r>
      <w:r>
        <w:br/>
      </w:r>
      <w:r>
        <w:t xml:space="preserve">Email: procurement@castellanofamilymed.com</w:t>
      </w:r>
      <w:r>
        <w:br/>
      </w:r>
      <w:r>
        <w:t xml:space="preserve">Florida Medical License No.: ME48291</w:t>
      </w:r>
      <w:r>
        <w:br/>
      </w:r>
      <w:r>
        <w:t xml:space="preserve">NPI: 1730482915</w:t>
      </w:r>
      <w:r>
        <w:br/>
      </w:r>
      <w:r>
        <w:t xml:space="preserve">Tax ID (EIN): 82-4471903</w:t>
      </w:r>
    </w:p>
    <w:bookmarkEnd w:id="22"/>
    <w:bookmarkStart w:id="23" w:name="supplier-seller"/>
    <w:p>
      <w:pPr>
        <w:pStyle w:val="Heading2"/>
      </w:pPr>
      <w:r>
        <w:t xml:space="preserve">3. Supplier (Seller)</w:t>
      </w:r>
    </w:p>
    <w:p>
      <w:pPr>
        <w:pStyle w:val="FirstParagraph"/>
      </w:pPr>
      <w:r>
        <w:rPr>
          <w:bCs/>
          <w:b/>
        </w:rPr>
        <w:t xml:space="preserve">MedSupply Solutions of Florida, Inc.</w:t>
      </w:r>
      <w:r>
        <w:br/>
      </w:r>
      <w:r>
        <w:t xml:space="preserve">1450 NW 42nd Street, Building C</w:t>
      </w:r>
      <w:r>
        <w:br/>
      </w:r>
      <w:r>
        <w:t xml:space="preserve">United States Miami, Florida 33142</w:t>
      </w:r>
      <w:r>
        <w:br/>
      </w:r>
      <w:r>
        <w:t xml:space="preserve">Telephone: (305) 555-7743</w:t>
      </w:r>
      <w:r>
        <w:br/>
      </w:r>
      <w:r>
        <w:t xml:space="preserve">Email: sales@medsupplyfl.com</w:t>
      </w:r>
      <w:r>
        <w:br/>
      </w:r>
      <w:r>
        <w:t xml:space="preserve">Florida Business License No.: FL-2019-88342</w:t>
      </w:r>
      <w:r>
        <w:br/>
      </w:r>
      <w:r>
        <w:t xml:space="preserve">Tax ID (EIN): 59-2210487</w:t>
      </w:r>
    </w:p>
    <w:bookmarkEnd w:id="23"/>
    <w:bookmarkStart w:id="24" w:name="X444cc52b67ceb9a17b3ce9e24dcee272a07be5d"/>
    <w:p>
      <w:pPr>
        <w:pStyle w:val="Heading2"/>
      </w:pPr>
      <w:r>
        <w:t xml:space="preserve">4. Line Items – Medical Equipment and Supplies for Doctor General Practitioner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Electronic Blood Pressure Monitor, Clinical Grade (Omron HBP-1320)</w:t>
            </w:r>
          </w:p>
        </w:tc>
        <w:tc>
          <w:tcPr/>
          <w:p>
            <w:pPr>
              <w:pStyle w:val="Compact"/>
              <w:jc w:val="left"/>
            </w:pPr>
            <w:r>
              <w:t xml:space="preserve">4</w:t>
            </w:r>
          </w:p>
        </w:tc>
        <w:tc>
          <w:tcPr/>
          <w:p>
            <w:pPr>
              <w:pStyle w:val="Compact"/>
              <w:jc w:val="left"/>
            </w:pPr>
            <w:r>
              <w:t xml:space="preserve">Each</w:t>
            </w:r>
          </w:p>
        </w:tc>
        <w:tc>
          <w:tcPr/>
          <w:p>
            <w:pPr>
              <w:pStyle w:val="Compact"/>
              <w:jc w:val="left"/>
            </w:pPr>
            <w:r>
              <w:t xml:space="preserve">$189.99</w:t>
            </w:r>
          </w:p>
        </w:tc>
        <w:tc>
          <w:tcPr/>
          <w:p>
            <w:pPr>
              <w:pStyle w:val="Compact"/>
              <w:jc w:val="left"/>
            </w:pPr>
            <w:r>
              <w:t xml:space="preserve">$759.96</w:t>
            </w:r>
          </w:p>
        </w:tc>
      </w:tr>
      <w:tr>
        <w:tc>
          <w:tcPr/>
          <w:p>
            <w:pPr>
              <w:pStyle w:val="Compact"/>
              <w:jc w:val="left"/>
            </w:pPr>
            <w:r>
              <w:t xml:space="preserve">002</w:t>
            </w:r>
          </w:p>
        </w:tc>
        <w:tc>
          <w:tcPr/>
          <w:p>
            <w:pPr>
              <w:pStyle w:val="Compact"/>
              <w:jc w:val="left"/>
            </w:pPr>
            <w:r>
              <w:t xml:space="preserve">Digital Thermometer, Infrared Forehead (Braun ThermoScan 7)</w:t>
            </w:r>
          </w:p>
        </w:tc>
        <w:tc>
          <w:tcPr/>
          <w:p>
            <w:pPr>
              <w:pStyle w:val="Compact"/>
              <w:jc w:val="left"/>
            </w:pPr>
            <w:r>
              <w:t xml:space="preserve">6</w:t>
            </w:r>
          </w:p>
        </w:tc>
        <w:tc>
          <w:tcPr/>
          <w:p>
            <w:pPr>
              <w:pStyle w:val="Compact"/>
              <w:jc w:val="left"/>
            </w:pPr>
            <w:r>
              <w:t xml:space="preserve">Each</w:t>
            </w:r>
          </w:p>
        </w:tc>
        <w:tc>
          <w:tcPr/>
          <w:p>
            <w:pPr>
              <w:pStyle w:val="Compact"/>
              <w:jc w:val="left"/>
            </w:pPr>
            <w:r>
              <w:t xml:space="preserve">$74.50</w:t>
            </w:r>
          </w:p>
        </w:tc>
        <w:tc>
          <w:tcPr/>
          <w:p>
            <w:pPr>
              <w:pStyle w:val="Compact"/>
              <w:jc w:val="left"/>
            </w:pPr>
            <w:r>
              <w:t xml:space="preserve">$447.00</w:t>
            </w:r>
          </w:p>
        </w:tc>
      </w:tr>
      <w:tr>
        <w:tc>
          <w:tcPr/>
          <w:p>
            <w:pPr>
              <w:pStyle w:val="Compact"/>
              <w:jc w:val="left"/>
            </w:pPr>
            <w:r>
              <w:t xml:space="preserve">003</w:t>
            </w:r>
          </w:p>
        </w:tc>
        <w:tc>
          <w:tcPr/>
          <w:p>
            <w:pPr>
              <w:pStyle w:val="Compact"/>
              <w:jc w:val="left"/>
            </w:pPr>
            <w:r>
              <w:t xml:space="preserve">Pulse Oximeter, Fingertip (Nonin 3250)</w:t>
            </w:r>
          </w:p>
        </w:tc>
        <w:tc>
          <w:tcPr/>
          <w:p>
            <w:pPr>
              <w:pStyle w:val="Compact"/>
              <w:jc w:val="left"/>
            </w:pPr>
            <w:r>
              <w:t xml:space="preserve">8</w:t>
            </w:r>
          </w:p>
        </w:tc>
        <w:tc>
          <w:tcPr/>
          <w:p>
            <w:pPr>
              <w:pStyle w:val="Compact"/>
              <w:jc w:val="left"/>
            </w:pPr>
            <w:r>
              <w:t xml:space="preserve">Each</w:t>
            </w:r>
          </w:p>
        </w:tc>
        <w:tc>
          <w:tcPr/>
          <w:p>
            <w:pPr>
              <w:pStyle w:val="Compact"/>
              <w:jc w:val="left"/>
            </w:pPr>
            <w:r>
              <w:t xml:space="preserve">$42.00</w:t>
            </w:r>
          </w:p>
        </w:tc>
        <w:tc>
          <w:tcPr/>
          <w:p>
            <w:pPr>
              <w:pStyle w:val="Compact"/>
              <w:jc w:val="left"/>
            </w:pPr>
            <w:r>
              <w:t xml:space="preserve">$336.00</w:t>
            </w:r>
          </w:p>
        </w:tc>
      </w:tr>
      <w:tr>
        <w:tc>
          <w:tcPr/>
          <w:p>
            <w:pPr>
              <w:pStyle w:val="Compact"/>
              <w:jc w:val="left"/>
            </w:pPr>
            <w:r>
              <w:t xml:space="preserve">004</w:t>
            </w:r>
          </w:p>
        </w:tc>
        <w:tc>
          <w:tcPr/>
          <w:p>
            <w:pPr>
              <w:pStyle w:val="Compact"/>
              <w:jc w:val="left"/>
            </w:pPr>
            <w:r>
              <w:t xml:space="preserve">Stethoscope, Dual Head, Clinical (Littmann Classic III)</w:t>
            </w:r>
          </w:p>
        </w:tc>
        <w:tc>
          <w:tcPr/>
          <w:p>
            <w:pPr>
              <w:pStyle w:val="Compact"/>
              <w:jc w:val="left"/>
            </w:pPr>
            <w:r>
              <w:t xml:space="preserve">3</w:t>
            </w:r>
          </w:p>
        </w:tc>
        <w:tc>
          <w:tcPr/>
          <w:p>
            <w:pPr>
              <w:pStyle w:val="Compact"/>
              <w:jc w:val="left"/>
            </w:pPr>
            <w:r>
              <w:t xml:space="preserve">Each</w:t>
            </w:r>
          </w:p>
        </w:tc>
        <w:tc>
          <w:tcPr/>
          <w:p>
            <w:pPr>
              <w:pStyle w:val="Compact"/>
              <w:jc w:val="left"/>
            </w:pPr>
            <w:r>
              <w:t xml:space="preserve">$129.95</w:t>
            </w:r>
          </w:p>
        </w:tc>
        <w:tc>
          <w:tcPr/>
          <w:p>
            <w:pPr>
              <w:pStyle w:val="Compact"/>
              <w:jc w:val="left"/>
            </w:pPr>
            <w:r>
              <w:t xml:space="preserve">$389.85</w:t>
            </w:r>
          </w:p>
        </w:tc>
      </w:tr>
      <w:tr>
        <w:tc>
          <w:tcPr/>
          <w:p>
            <w:pPr>
              <w:pStyle w:val="Compact"/>
              <w:jc w:val="left"/>
            </w:pPr>
            <w:r>
              <w:t xml:space="preserve">005</w:t>
            </w:r>
          </w:p>
        </w:tc>
        <w:tc>
          <w:tcPr/>
          <w:p>
            <w:pPr>
              <w:pStyle w:val="Compact"/>
              <w:jc w:val="left"/>
            </w:pPr>
            <w:r>
              <w:t xml:space="preserve">Examination Table, Adjustable with Paper Roll Holder</w:t>
            </w:r>
          </w:p>
        </w:tc>
        <w:tc>
          <w:tcPr/>
          <w:p>
            <w:pPr>
              <w:pStyle w:val="Compact"/>
              <w:jc w:val="left"/>
            </w:pPr>
            <w:r>
              <w:t xml:space="preserve">2</w:t>
            </w:r>
          </w:p>
        </w:tc>
        <w:tc>
          <w:tcPr/>
          <w:p>
            <w:pPr>
              <w:pStyle w:val="Compact"/>
              <w:jc w:val="left"/>
            </w:pPr>
            <w:r>
              <w:t xml:space="preserve">Each</w:t>
            </w:r>
          </w:p>
        </w:tc>
        <w:tc>
          <w:tcPr/>
          <w:p>
            <w:pPr>
              <w:pStyle w:val="Compact"/>
              <w:jc w:val="left"/>
            </w:pPr>
            <w:r>
              <w:t xml:space="preserve">$1,245.00</w:t>
            </w:r>
          </w:p>
        </w:tc>
        <w:tc>
          <w:tcPr/>
          <w:p>
            <w:pPr>
              <w:pStyle w:val="Compact"/>
              <w:jc w:val="left"/>
            </w:pPr>
            <w:r>
              <w:t xml:space="preserve">$2,490.00</w:t>
            </w:r>
          </w:p>
        </w:tc>
      </w:tr>
      <w:tr>
        <w:tc>
          <w:tcPr/>
          <w:p>
            <w:pPr>
              <w:pStyle w:val="Compact"/>
              <w:jc w:val="left"/>
            </w:pPr>
            <w:r>
              <w:t xml:space="preserve">006</w:t>
            </w:r>
          </w:p>
        </w:tc>
        <w:tc>
          <w:tcPr/>
          <w:p>
            <w:pPr>
              <w:pStyle w:val="Compact"/>
              <w:jc w:val="left"/>
            </w:pPr>
            <w:r>
              <w:t xml:space="preserve">Disposable Nitrile Exam Gloves, Box of 100 (Medium)</w:t>
            </w:r>
          </w:p>
        </w:tc>
        <w:tc>
          <w:tcPr/>
          <w:p>
            <w:pPr>
              <w:pStyle w:val="Compact"/>
              <w:jc w:val="left"/>
            </w:pPr>
            <w:r>
              <w:t xml:space="preserve">50</w:t>
            </w:r>
          </w:p>
        </w:tc>
        <w:tc>
          <w:tcPr/>
          <w:p>
            <w:pPr>
              <w:pStyle w:val="Compact"/>
              <w:jc w:val="left"/>
            </w:pPr>
            <w:r>
              <w:t xml:space="preserve">Box</w:t>
            </w:r>
          </w:p>
        </w:tc>
        <w:tc>
          <w:tcPr/>
          <w:p>
            <w:pPr>
              <w:pStyle w:val="Compact"/>
              <w:jc w:val="left"/>
            </w:pPr>
            <w:r>
              <w:t xml:space="preserve">$12.75</w:t>
            </w:r>
          </w:p>
        </w:tc>
        <w:tc>
          <w:tcPr/>
          <w:p>
            <w:pPr>
              <w:pStyle w:val="Compact"/>
              <w:jc w:val="left"/>
            </w:pPr>
            <w:r>
              <w:t xml:space="preserve">$637.50</w:t>
            </w:r>
          </w:p>
        </w:tc>
      </w:tr>
      <w:tr>
        <w:tc>
          <w:tcPr/>
          <w:p>
            <w:pPr>
              <w:pStyle w:val="Compact"/>
              <w:jc w:val="left"/>
            </w:pPr>
            <w:r>
              <w:t xml:space="preserve">007</w:t>
            </w:r>
          </w:p>
        </w:tc>
        <w:tc>
          <w:tcPr/>
          <w:p>
            <w:pPr>
              <w:pStyle w:val="Compact"/>
              <w:jc w:val="left"/>
            </w:pPr>
            <w:r>
              <w:t xml:space="preserve">Isopropyl Alcohol 70%, 1 Gallon Jug</w:t>
            </w:r>
          </w:p>
        </w:tc>
        <w:tc>
          <w:tcPr/>
          <w:p>
            <w:pPr>
              <w:pStyle w:val="Compact"/>
              <w:jc w:val="left"/>
            </w:pPr>
            <w:r>
              <w:t xml:space="preserve">20</w:t>
            </w:r>
          </w:p>
        </w:tc>
        <w:tc>
          <w:tcPr/>
          <w:p>
            <w:pPr>
              <w:pStyle w:val="Compact"/>
              <w:jc w:val="left"/>
            </w:pPr>
            <w:r>
              <w:t xml:space="preserve">Gallon</w:t>
            </w:r>
          </w:p>
        </w:tc>
        <w:tc>
          <w:tcPr/>
          <w:p>
            <w:pPr>
              <w:pStyle w:val="Compact"/>
              <w:jc w:val="left"/>
            </w:pPr>
            <w:r>
              <w:t xml:space="preserve">$18.99</w:t>
            </w:r>
          </w:p>
        </w:tc>
        <w:tc>
          <w:tcPr/>
          <w:p>
            <w:pPr>
              <w:pStyle w:val="Compact"/>
              <w:jc w:val="left"/>
            </w:pPr>
            <w:r>
              <w:t xml:space="preserve">$379.80</w:t>
            </w:r>
          </w:p>
        </w:tc>
      </w:tr>
      <w:tr>
        <w:tc>
          <w:tcPr/>
          <w:p>
            <w:pPr>
              <w:pStyle w:val="Compact"/>
              <w:jc w:val="left"/>
            </w:pPr>
            <w:r>
              <w:t xml:space="preserve">008</w:t>
            </w:r>
          </w:p>
        </w:tc>
        <w:tc>
          <w:tcPr/>
          <w:p>
            <w:pPr>
              <w:pStyle w:val="Compact"/>
              <w:jc w:val="left"/>
            </w:pPr>
            <w:r>
              <w:t xml:space="preserve">Surgical Mask, 3-Ply, Box of 50 (N95 Certified)</w:t>
            </w:r>
          </w:p>
        </w:tc>
        <w:tc>
          <w:tcPr/>
          <w:p>
            <w:pPr>
              <w:pStyle w:val="Compact"/>
              <w:jc w:val="left"/>
            </w:pPr>
            <w:r>
              <w:t xml:space="preserve">30</w:t>
            </w:r>
          </w:p>
        </w:tc>
        <w:tc>
          <w:tcPr/>
          <w:p>
            <w:pPr>
              <w:pStyle w:val="Compact"/>
              <w:jc w:val="left"/>
            </w:pPr>
            <w:r>
              <w:t xml:space="preserve">Box</w:t>
            </w:r>
          </w:p>
        </w:tc>
        <w:tc>
          <w:tcPr/>
          <w:p>
            <w:pPr>
              <w:pStyle w:val="Compact"/>
              <w:jc w:val="left"/>
            </w:pPr>
            <w:r>
              <w:t xml:space="preserve">$34.00</w:t>
            </w:r>
          </w:p>
        </w:tc>
        <w:tc>
          <w:tcPr/>
          <w:p>
            <w:pPr>
              <w:pStyle w:val="Compact"/>
              <w:jc w:val="left"/>
            </w:pPr>
            <w:r>
              <w:t xml:space="preserve">$1,020.00</w:t>
            </w:r>
          </w:p>
        </w:tc>
      </w:tr>
      <w:tr>
        <w:tc>
          <w:tcPr/>
          <w:p>
            <w:pPr>
              <w:pStyle w:val="Compact"/>
              <w:jc w:val="left"/>
            </w:pPr>
            <w:r>
              <w:t xml:space="preserve">009</w:t>
            </w:r>
          </w:p>
        </w:tc>
        <w:tc>
          <w:tcPr/>
          <w:p>
            <w:pPr>
              <w:pStyle w:val="Compact"/>
              <w:jc w:val="left"/>
            </w:pPr>
            <w:r>
              <w:t xml:space="preserve">Electronic Patient Scale with Height Measure</w:t>
            </w:r>
          </w:p>
        </w:tc>
        <w:tc>
          <w:tcPr/>
          <w:p>
            <w:pPr>
              <w:pStyle w:val="Compact"/>
              <w:jc w:val="left"/>
            </w:pPr>
            <w:r>
              <w:t xml:space="preserve">2</w:t>
            </w:r>
          </w:p>
        </w:tc>
        <w:tc>
          <w:tcPr/>
          <w:p>
            <w:pPr>
              <w:pStyle w:val="Compact"/>
              <w:jc w:val="left"/>
            </w:pPr>
            <w:r>
              <w:t xml:space="preserve">Each</w:t>
            </w:r>
          </w:p>
        </w:tc>
        <w:tc>
          <w:tcPr/>
          <w:p>
            <w:pPr>
              <w:pStyle w:val="Compact"/>
              <w:jc w:val="left"/>
            </w:pPr>
            <w:r>
              <w:t xml:space="preserve">$312.00</w:t>
            </w:r>
          </w:p>
        </w:tc>
        <w:tc>
          <w:tcPr/>
          <w:p>
            <w:pPr>
              <w:pStyle w:val="Compact"/>
              <w:jc w:val="left"/>
            </w:pPr>
            <w:r>
              <w:t xml:space="preserve">$624.00</w:t>
            </w:r>
          </w:p>
        </w:tc>
      </w:tr>
      <w:tr>
        <w:tc>
          <w:tcPr/>
          <w:p>
            <w:pPr>
              <w:pStyle w:val="Compact"/>
              <w:jc w:val="left"/>
            </w:pPr>
            <w:r>
              <w:t xml:space="preserve">010</w:t>
            </w:r>
          </w:p>
        </w:tc>
        <w:tc>
          <w:tcPr/>
          <w:p>
            <w:pPr>
              <w:pStyle w:val="Compact"/>
              <w:jc w:val="left"/>
            </w:pPr>
            <w:r>
              <w:t xml:space="preserve">Sharps Disposal Container, 3.5 Gallon, Autoclavable</w:t>
            </w:r>
          </w:p>
        </w:tc>
        <w:tc>
          <w:tcPr/>
          <w:p>
            <w:pPr>
              <w:pStyle w:val="Compact"/>
              <w:jc w:val="left"/>
            </w:pPr>
            <w:r>
              <w:t xml:space="preserve">10</w:t>
            </w:r>
          </w:p>
        </w:tc>
        <w:tc>
          <w:tcPr/>
          <w:p>
            <w:pPr>
              <w:pStyle w:val="Compact"/>
              <w:jc w:val="left"/>
            </w:pPr>
            <w:r>
              <w:t xml:space="preserve">Each</w:t>
            </w:r>
          </w:p>
        </w:tc>
        <w:tc>
          <w:tcPr/>
          <w:p>
            <w:pPr>
              <w:pStyle w:val="Compact"/>
              <w:jc w:val="left"/>
            </w:pPr>
            <w:r>
              <w:t xml:space="preserve">$28.50</w:t>
            </w:r>
          </w:p>
        </w:tc>
        <w:tc>
          <w:tcPr/>
          <w:p>
            <w:pPr>
              <w:pStyle w:val="Compact"/>
              <w:jc w:val="left"/>
            </w:pPr>
            <w:r>
              <w:t xml:space="preserve">$285.00</w:t>
            </w:r>
          </w:p>
        </w:tc>
      </w:tr>
      <w:tr>
        <w:tc>
          <w:tcPr>
            <w:gridSpan w:val="5"/>
          </w:tcPr>
          <w:p>
            <w:pPr>
              <w:pStyle w:val="Compact"/>
              <w:jc w:val="right"/>
            </w:pPr>
            <w:r>
              <w:t xml:space="preserve">Subtotal</w:t>
            </w:r>
          </w:p>
        </w:tc>
        <w:tc>
          <w:tcPr/>
          <w:p>
            <w:pPr>
              <w:pStyle w:val="Compact"/>
              <w:jc w:val="left"/>
            </w:pPr>
            <w:r>
              <w:t xml:space="preserve">$7,769.11</w:t>
            </w:r>
          </w:p>
        </w:tc>
      </w:tr>
      <w:tr>
        <w:tc>
          <w:tcPr>
            <w:gridSpan w:val="5"/>
          </w:tcPr>
          <w:p>
            <w:pPr>
              <w:pStyle w:val="Compact"/>
              <w:jc w:val="right"/>
            </w:pPr>
            <w:r>
              <w:t xml:space="preserve">Florida Sales Tax (7.0%)</w:t>
            </w:r>
          </w:p>
        </w:tc>
        <w:tc>
          <w:tcPr/>
          <w:p>
            <w:pPr>
              <w:pStyle w:val="Compact"/>
              <w:jc w:val="left"/>
            </w:pPr>
            <w:r>
              <w:t xml:space="preserve">$543.84</w:t>
            </w:r>
          </w:p>
        </w:tc>
      </w:tr>
      <w:tr>
        <w:tc>
          <w:tcPr>
            <w:gridSpan w:val="5"/>
          </w:tcPr>
          <w:p>
            <w:pPr>
              <w:pStyle w:val="Compact"/>
              <w:jc w:val="right"/>
            </w:pPr>
            <w:r>
              <w:t xml:space="preserve">Shipping &amp; Handling (United States Miami Delivery)</w:t>
            </w:r>
          </w:p>
        </w:tc>
        <w:tc>
          <w:tcPr/>
          <w:p>
            <w:pPr>
              <w:pStyle w:val="Compact"/>
              <w:jc w:val="left"/>
            </w:pPr>
            <w:r>
              <w:t xml:space="preserve">$185.00</w:t>
            </w:r>
          </w:p>
        </w:tc>
      </w:tr>
      <w:tr>
        <w:tc>
          <w:tcPr>
            <w:gridSpan w:val="5"/>
          </w:tcPr>
          <w:p>
            <w:pPr>
              <w:pStyle w:val="Compact"/>
              <w:jc w:val="right"/>
            </w:pPr>
            <w:r>
              <w:t xml:space="preserve">TOTAL AMOUNT DUE (USD)</w:t>
            </w:r>
          </w:p>
        </w:tc>
        <w:tc>
          <w:tcPr/>
          <w:p>
            <w:pPr>
              <w:pStyle w:val="Compact"/>
              <w:jc w:val="left"/>
            </w:pPr>
            <w:r>
              <w:t xml:space="preserve">$8,497.95</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issued by Dr. Elena M. Castellanos, a licensed Doctor General Practitioner operating a primary care clinic in United States Miami, Florida, and constitutes a binding offer to purchase the goods and services described herein upon acceptance by the Supplier.</w:t>
      </w:r>
    </w:p>
    <w:p>
      <w:pPr>
        <w:numPr>
          <w:ilvl w:val="0"/>
          <w:numId w:val="1001"/>
        </w:numPr>
        <w:pStyle w:val="Compact"/>
      </w:pPr>
      <w:r>
        <w:t xml:space="preserve">All items listed in this Purchase Order must be new, unused, and in their original manufacturer packaging. Any item found to be defective, damaged, or not conforming to the specifications stated in this document shall be returned at the Supplier's expense within fourteen (14) calendar days of delivery.</w:t>
      </w:r>
    </w:p>
    <w:p>
      <w:pPr>
        <w:numPr>
          <w:ilvl w:val="0"/>
          <w:numId w:val="1001"/>
        </w:numPr>
        <w:pStyle w:val="Compact"/>
      </w:pPr>
      <w:r>
        <w:t xml:space="preserve">Delivery shall be made to the Doctor General Practitioner practice location at 2847 Brickell Avenue, Suite 412, United States Miami, Florida 33133. The Supplier is responsible for all transportation costs, insurance, and risk of loss until the goods are received and signed for by the Buyer's authorized representative in United States Miami.</w:t>
      </w:r>
    </w:p>
    <w:p>
      <w:pPr>
        <w:numPr>
          <w:ilvl w:val="0"/>
          <w:numId w:val="1001"/>
        </w:numPr>
        <w:pStyle w:val="Compact"/>
      </w:pPr>
      <w:r>
        <w:t xml:space="preserve">Payment shall be remitted via ACH bank transfer or certified check within thirty (30) days of the date of the Supplier's invoice, provided that all goods have been received in satisfactory condition. Late payments shall accrue interest at a rate of 1.5% per month or the maximum rate permitted under Florida state law, whichever is lower.</w:t>
      </w:r>
    </w:p>
    <w:p>
      <w:pPr>
        <w:numPr>
          <w:ilvl w:val="0"/>
          <w:numId w:val="1001"/>
        </w:numPr>
        <w:pStyle w:val="Compact"/>
      </w:pPr>
      <w:r>
        <w:t xml:space="preserve">The Supplier warrants that all medical equipment and supplies provided under this Purchase Order comply with all applicable Federal Drug Administration (FDA) regulations, Occupational Safety and Health Administration (OSHA) standards, and Florida Department of Health requirements for use in a Doctor General Practitioner clinical setting.</w:t>
      </w:r>
    </w:p>
    <w:p>
      <w:pPr>
        <w:numPr>
          <w:ilvl w:val="0"/>
          <w:numId w:val="1001"/>
        </w:numPr>
        <w:pStyle w:val="Compact"/>
      </w:pPr>
      <w:r>
        <w:t xml:space="preserve">This Purchase Order is governed by and shall be construed in accordance with the laws of the State of Florida, United States. Any disputes arising from or related to this Purchase Order shall be resolved through binding arbitration in United States Miami, Florida, in accordance with the rules of the American Arbitration Association.</w:t>
      </w:r>
    </w:p>
    <w:p>
      <w:pPr>
        <w:numPr>
          <w:ilvl w:val="0"/>
          <w:numId w:val="1001"/>
        </w:numPr>
        <w:pStyle w:val="Compact"/>
      </w:pPr>
      <w:r>
        <w:t xml:space="preserve">The Supplier shall maintain adequate product liability insurance with a minimum coverage of $2,000,000 per occurrence for all goods delivered under this Purchase Order. A certificate of insurance shall be provided to the Buyer prior to the first delivery.</w:t>
      </w:r>
    </w:p>
    <w:p>
      <w:pPr>
        <w:numPr>
          <w:ilvl w:val="0"/>
          <w:numId w:val="1001"/>
        </w:numPr>
        <w:pStyle w:val="Compact"/>
      </w:pPr>
      <w:r>
        <w:t xml:space="preserve">Neither party shall be liable for failure to perform obligations under this Purchase Order to the extent such failure is caused by acts of God, natural disasters (including hurricanes common to the United States Miami region), government actions, or other events beyond the reasonable control of the affected party.</w:t>
      </w:r>
    </w:p>
    <w:p>
      <w:pPr>
        <w:numPr>
          <w:ilvl w:val="0"/>
          <w:numId w:val="1001"/>
        </w:numPr>
        <w:pStyle w:val="Compact"/>
      </w:pPr>
      <w:r>
        <w:t xml:space="preserve">This Purchase Order may not be modified, amended, or supplemented except by a written instrument signed by authorized representatives of both the Doctor General Practitioner (Buyer) and the Supplier.</w:t>
      </w:r>
    </w:p>
    <w:p>
      <w:pPr>
        <w:numPr>
          <w:ilvl w:val="0"/>
          <w:numId w:val="1001"/>
        </w:numPr>
        <w:pStyle w:val="Compact"/>
      </w:pPr>
      <w:r>
        <w:t xml:space="preserve">All intellectual property rights, trademarks, and proprietary information associated with the products listed herein remain the property of the respective manufacturers. This Purchase Order does not grant any license or right beyond the purchase and use of the goods for clinical practice purposes.</w:t>
      </w:r>
    </w:p>
    <w:bookmarkEnd w:id="25"/>
    <w:bookmarkStart w:id="26" w:name="special-instructions-for-delivery"/>
    <w:p>
      <w:pPr>
        <w:pStyle w:val="Heading2"/>
      </w:pPr>
      <w:r>
        <w:t xml:space="preserve">6. Special Instructions for Delivery</w:t>
      </w:r>
    </w:p>
    <w:p>
      <w:pPr>
        <w:pStyle w:val="FirstParagraph"/>
      </w:pPr>
      <w:r>
        <w:t xml:space="preserve">Delivery of all items under this Purchase Order must be scheduled between the hours of 8:00 AM and 4:00 PM, Monday through Friday, to accommodate the Doctor General Practitioner's clinical schedule. The delivery driver must present a valid government-issued photo identification and a copy of this Purchase Order (PO No. MIA-GP-2025-04872) upon arrival at the United States Miami clinic address. The receiving staff member will verify quantities and inspect items for visible damage before signing the delivery manifest. Any discrepancies must be noted on the manifest at the time of delivery and reported to the Supplier within twenty-four (24) hours.</w:t>
      </w:r>
    </w:p>
    <w:bookmarkEnd w:id="26"/>
    <w:bookmarkStart w:id="27" w:name="authorization-and-signatures"/>
    <w:p>
      <w:pPr>
        <w:pStyle w:val="Heading2"/>
      </w:pPr>
      <w:r>
        <w:t xml:space="preserve">7. Authorization and Signatures</w:t>
      </w:r>
    </w:p>
    <w:p>
      <w:pPr>
        <w:pStyle w:val="FirstParagraph"/>
      </w:pPr>
      <w:r>
        <w:rPr>
          <w:bCs/>
          <w:b/>
        </w:rPr>
        <w:t xml:space="preserve">Authorized by (Buyer):</w:t>
      </w:r>
    </w:p>
    <w:p>
      <w:pPr>
        <w:pStyle w:val="BodyText"/>
      </w:pPr>
      <w:r>
        <w:t xml:space="preserve">Dr. Elena M. Castellanos, M.D.</w:t>
      </w:r>
      <w:r>
        <w:br/>
      </w:r>
      <w:r>
        <w:t xml:space="preserve">Doctor General Practitioner</w:t>
      </w:r>
      <w:r>
        <w:br/>
      </w:r>
      <w:r>
        <w:t xml:space="preserve">Castellanos Family Medicine &amp; Primary Care</w:t>
      </w:r>
      <w:r>
        <w:br/>
      </w:r>
      <w:r>
        <w:t xml:space="preserve">United States Miami, Florida</w:t>
      </w:r>
      <w:r>
        <w:br/>
      </w:r>
      <w:r>
        <w:t xml:space="preserve">Date: ______________________</w:t>
      </w:r>
    </w:p>
    <w:p>
      <w:pPr>
        <w:pStyle w:val="BodyText"/>
      </w:pPr>
      <w:r>
        <w:rPr>
          <w:bCs/>
          <w:b/>
        </w:rPr>
        <w:t xml:space="preserve">Accepted by (Supplier):</w:t>
      </w:r>
    </w:p>
    <w:p>
      <w:pPr>
        <w:pStyle w:val="BodyText"/>
      </w:pPr>
      <w:r>
        <w:t xml:space="preserve">________________________________</w:t>
      </w:r>
      <w:r>
        <w:br/>
      </w:r>
      <w:r>
        <w:t xml:space="preserve">Authorized Representative</w:t>
      </w:r>
      <w:r>
        <w:br/>
      </w:r>
      <w:r>
        <w:t xml:space="preserve">MedSupply Solutions of Florida, Inc.</w:t>
      </w:r>
      <w:r>
        <w:br/>
      </w:r>
      <w:r>
        <w:t xml:space="preserve">United States Miami, Florida</w:t>
      </w:r>
      <w:r>
        <w:br/>
      </w:r>
      <w:r>
        <w:t xml:space="preserve">Date: ______________________</w:t>
      </w:r>
    </w:p>
    <w:bookmarkEnd w:id="27"/>
    <w:p>
      <w:pPr>
        <w:pStyle w:val="BodyText"/>
      </w:pPr>
      <w:r>
        <w:t xml:space="preserve">This Purchase Order document was prepared for the Doctor General Practitioner practice located in United States Miami, Florida. Document Reference: MIA-GP-2025-04872. This document is valid for a period of ninety (90) days from the date of issue. For questions or amendments, contact the procurement office at Castellanos Family Medicine &amp; Primary Care, United States Miami, FL 33133. © 2025 Castellanos Family Medicine &amp; Primary Care.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United States Miami</dc:title>
  <dc:creator/>
  <dc:language>en</dc:language>
  <cp:keywords/>
  <dcterms:created xsi:type="dcterms:W3CDTF">2026-10-10T07:01:54Z</dcterms:created>
  <dcterms:modified xsi:type="dcterms:W3CDTF">2026-10-10T07:01:54Z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