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Uzbekistan</w:t>
      </w:r>
      <w:r>
        <w:t xml:space="preserve"> </w:t>
      </w:r>
      <w:r>
        <w:t xml:space="preserve">Tashkent</w:t>
      </w:r>
    </w:p>
    <w:bookmarkStart w:id="30" w:name="purchase-order"/>
    <w:p>
      <w:pPr>
        <w:pStyle w:val="Heading1"/>
      </w:pPr>
      <w:r>
        <w:t xml:space="preserve">PURCHASE ORDER</w:t>
      </w:r>
    </w:p>
    <w:p>
      <w:pPr>
        <w:pStyle w:val="FirstParagraph"/>
      </w:pPr>
      <w:r>
        <w:rPr>
          <w:bCs/>
          <w:b/>
        </w:rPr>
        <w:t xml:space="preserve">Purchase Order No.:</w:t>
      </w:r>
      <w:r>
        <w:t xml:space="preserve"> </w:t>
      </w:r>
      <w:r>
        <w:t xml:space="preserve">PO-TMK-2025-04871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Uzbekistan Som (UZS)</w:t>
      </w:r>
    </w:p>
    <w:p>
      <w:pPr>
        <w:pStyle w:val="BodyText"/>
      </w:pPr>
      <w:r>
        <w:rPr>
          <w:bCs/>
          <w:b/>
        </w:rPr>
        <w:t xml:space="preserve">Buyer:</w:t>
      </w:r>
      <w:r>
        <w:t xml:space="preserve"> </w:t>
      </w:r>
      <w:r>
        <w:t xml:space="preserve">Tashkent City General Practitioner Clinic</w:t>
      </w:r>
    </w:p>
    <w:p>
      <w:pPr>
        <w:pStyle w:val="BodyText"/>
      </w:pPr>
      <w:r>
        <w:rPr>
          <w:bCs/>
          <w:b/>
        </w:rPr>
        <w:t xml:space="preserve">Address:</w:t>
      </w:r>
      <w:r>
        <w:t xml:space="preserve"> </w:t>
      </w:r>
      <w:r>
        <w:t xml:space="preserve">42 Amir Temur Avenue, Tashkent, 100000, Uzbekistan</w:t>
      </w:r>
    </w:p>
    <w:p>
      <w:pPr>
        <w:pStyle w:val="BodyText"/>
      </w:pPr>
      <w:r>
        <w:rPr>
          <w:bCs/>
          <w:b/>
        </w:rPr>
        <w:t xml:space="preserve">Registration No.:</w:t>
      </w:r>
      <w:r>
        <w:t xml:space="preserve"> </w:t>
      </w:r>
      <w:r>
        <w:t xml:space="preserve">01-784521 (Uzbekistan State Tax Committee)</w:t>
      </w:r>
    </w:p>
    <w:p>
      <w:pPr>
        <w:pStyle w:val="BodyText"/>
      </w:pPr>
      <w:r>
        <w:rPr>
          <w:bCs/>
          <w:b/>
        </w:rPr>
        <w:t xml:space="preserve">Contact:</w:t>
      </w:r>
      <w:r>
        <w:t xml:space="preserve"> </w:t>
      </w:r>
      <w:r>
        <w:t xml:space="preserve">Dr. Aziz Karimov, Doctor General Practitioner</w:t>
      </w:r>
    </w:p>
    <w:p>
      <w:pPr>
        <w:pStyle w:val="BodyText"/>
      </w:pPr>
      <w:r>
        <w:rPr>
          <w:bCs/>
          <w:b/>
        </w:rPr>
        <w:t xml:space="preserve">Phone:</w:t>
      </w:r>
      <w:r>
        <w:t xml:space="preserve"> </w:t>
      </w:r>
      <w:r>
        <w:t xml:space="preserve">+998 71 200 45 67</w:t>
      </w:r>
    </w:p>
    <w:bookmarkStart w:id="20"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MedSupply Central Asia LLC</w:t>
            </w:r>
          </w:p>
        </w:tc>
      </w:tr>
      <w:tr>
        <w:tc>
          <w:tcPr/>
          <w:p>
            <w:pPr>
              <w:pStyle w:val="Compact"/>
              <w:jc w:val="left"/>
            </w:pPr>
            <w:r>
              <w:t xml:space="preserve">Address</w:t>
            </w:r>
          </w:p>
        </w:tc>
        <w:tc>
          <w:tcPr/>
          <w:p>
            <w:pPr>
              <w:pStyle w:val="Compact"/>
              <w:jc w:val="left"/>
            </w:pPr>
            <w:r>
              <w:t xml:space="preserve">18 Navoi Street, Tashkent, 100084, Uzbekistan</w:t>
            </w:r>
          </w:p>
        </w:tc>
      </w:tr>
      <w:tr>
        <w:tc>
          <w:tcPr/>
          <w:p>
            <w:pPr>
              <w:pStyle w:val="Compact"/>
              <w:jc w:val="left"/>
            </w:pPr>
            <w:r>
              <w:t xml:space="preserve">VAT / Tax ID</w:t>
            </w:r>
          </w:p>
        </w:tc>
        <w:tc>
          <w:tcPr/>
          <w:p>
            <w:pPr>
              <w:pStyle w:val="Compact"/>
              <w:jc w:val="left"/>
            </w:pPr>
            <w:r>
              <w:t xml:space="preserve">200145678</w:t>
            </w:r>
          </w:p>
        </w:tc>
      </w:tr>
      <w:tr>
        <w:tc>
          <w:tcPr/>
          <w:p>
            <w:pPr>
              <w:pStyle w:val="Compact"/>
              <w:jc w:val="left"/>
            </w:pPr>
            <w:r>
              <w:t xml:space="preserve">Contact Person</w:t>
            </w:r>
          </w:p>
        </w:tc>
        <w:tc>
          <w:tcPr/>
          <w:p>
            <w:pPr>
              <w:pStyle w:val="Compact"/>
              <w:jc w:val="left"/>
            </w:pPr>
            <w:r>
              <w:t xml:space="preserve">Madam Dilnoza Rahimova, Sales Director</w:t>
            </w:r>
          </w:p>
        </w:tc>
      </w:tr>
      <w:tr>
        <w:tc>
          <w:tcPr/>
          <w:p>
            <w:pPr>
              <w:pStyle w:val="Compact"/>
              <w:jc w:val="left"/>
            </w:pPr>
            <w:r>
              <w:t xml:space="preserve">Email</w:t>
            </w:r>
          </w:p>
        </w:tc>
        <w:tc>
          <w:tcPr/>
          <w:p>
            <w:pPr>
              <w:pStyle w:val="Compact"/>
              <w:jc w:val="left"/>
            </w:pPr>
            <w:r>
              <w:t xml:space="preserve">orders@medsupply-ca.uz</w:t>
            </w:r>
          </w:p>
        </w:tc>
      </w:tr>
      <w:tr>
        <w:tc>
          <w:tcPr/>
          <w:p>
            <w:pPr>
              <w:pStyle w:val="Compact"/>
              <w:jc w:val="left"/>
            </w:pPr>
            <w:r>
              <w:t xml:space="preserve">Phone</w:t>
            </w:r>
          </w:p>
        </w:tc>
        <w:tc>
          <w:tcPr/>
          <w:p>
            <w:pPr>
              <w:pStyle w:val="Compact"/>
              <w:jc w:val="left"/>
            </w:pPr>
            <w:r>
              <w:t xml:space="preserve">+998 71 233 89 01</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Tashkent City General Practitioner Clinic, a licensed primary healthcare facility operating in Uzbekistan Tashkent, to procure essential medical equipment, diagnostic instruments, pharmaceutical supplies, and administrative materials required for the daily clinical operations of our Doctor General Practitioner team. The Doctor General Practitioner at this clinic provides comprehensive primary care services to the local population of Tashkent, including preventive screenings, chronic disease management, acute illness treatment, and referral coordination. All items listed in this Purchase Order must comply with the regulatory standards set forth by the Ministry of Health of the Republic of Uzbekistan and must carry valid certification for use in Uzbekistan Tashkent healthcare facilities.</w:t>
      </w:r>
    </w:p>
    <w:bookmarkEnd w:id="21"/>
    <w:bookmarkStart w:id="22"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Digital Blood Pressure Monitor (Omron M7, CE certified, approved for Uzbekistan Tashkent clinics)</w:t>
            </w:r>
          </w:p>
        </w:tc>
        <w:tc>
          <w:tcPr/>
          <w:p>
            <w:pPr>
              <w:pStyle w:val="Compact"/>
              <w:jc w:val="left"/>
            </w:pPr>
            <w:r>
              <w:t xml:space="preserve">12</w:t>
            </w:r>
          </w:p>
        </w:tc>
        <w:tc>
          <w:tcPr/>
          <w:p>
            <w:pPr>
              <w:pStyle w:val="Compact"/>
              <w:jc w:val="left"/>
            </w:pPr>
            <w:r>
              <w:t xml:space="preserve">pcs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Pulse Oximeter, fingertip, with USB data export for Doctor General Practitioner patient records</w:t>
            </w:r>
          </w:p>
        </w:tc>
        <w:tc>
          <w:tcPr/>
          <w:p>
            <w:pPr>
              <w:pStyle w:val="Compact"/>
              <w:jc w:val="left"/>
            </w:pPr>
            <w:r>
              <w:t xml:space="preserve">20</w:t>
            </w:r>
          </w:p>
        </w:tc>
        <w:tc>
          <w:tcPr/>
          <w:p>
            <w:pPr>
              <w:pStyle w:val="Compact"/>
              <w:jc w:val="left"/>
            </w:pPr>
            <w:r>
              <w:t xml:space="preserve">pcs</w:t>
            </w:r>
          </w:p>
        </w:tc>
        <w:tc>
          <w:tcPr/>
          <w:p>
            <w:pPr>
              <w:pStyle w:val="Compact"/>
              <w:jc w:val="left"/>
            </w:pPr>
            <w:r>
              <w:t xml:space="preserve">620,000</w:t>
            </w:r>
          </w:p>
        </w:tc>
        <w:tc>
          <w:tcPr/>
          <w:p>
            <w:pPr>
              <w:pStyle w:val="Compact"/>
              <w:jc w:val="left"/>
            </w:pPr>
            <w:r>
              <w:t xml:space="preserve">12,400,000</w:t>
            </w:r>
          </w:p>
        </w:tc>
      </w:tr>
      <w:tr>
        <w:tc>
          <w:tcPr/>
          <w:p>
            <w:pPr>
              <w:pStyle w:val="Compact"/>
              <w:jc w:val="left"/>
            </w:pPr>
            <w:r>
              <w:t xml:space="preserve">03</w:t>
            </w:r>
          </w:p>
        </w:tc>
        <w:tc>
          <w:tcPr/>
          <w:p>
            <w:pPr>
              <w:pStyle w:val="Compact"/>
              <w:jc w:val="left"/>
            </w:pPr>
            <w:r>
              <w:t xml:space="preserve">Portable ECG Machine, 12-lead, for general practitioner cardiac screening in Tashkent</w:t>
            </w:r>
          </w:p>
        </w:tc>
        <w:tc>
          <w:tcPr/>
          <w:p>
            <w:pPr>
              <w:pStyle w:val="Compact"/>
              <w:jc w:val="left"/>
            </w:pPr>
            <w:r>
              <w:t xml:space="preserve">3</w:t>
            </w:r>
          </w:p>
        </w:tc>
        <w:tc>
          <w:tcPr/>
          <w:p>
            <w:pPr>
              <w:pStyle w:val="Compact"/>
              <w:jc w:val="left"/>
            </w:pPr>
            <w:r>
              <w:t xml:space="preserve">pcs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04</w:t>
            </w:r>
          </w:p>
        </w:tc>
        <w:tc>
          <w:tcPr/>
          <w:p>
            <w:pPr>
              <w:pStyle w:val="Compact"/>
              <w:jc w:val="left"/>
            </w:pPr>
            <w:r>
              <w:t xml:space="preserve">Stethoscope, Littmann Classic III, for Doctor General Practitioner auscultation</w:t>
            </w:r>
          </w:p>
        </w:tc>
        <w:tc>
          <w:tcPr/>
          <w:p>
            <w:pPr>
              <w:pStyle w:val="Compact"/>
              <w:jc w:val="left"/>
            </w:pPr>
            <w:r>
              <w:t xml:space="preserve">15</w:t>
            </w:r>
          </w:p>
        </w:tc>
        <w:tc>
          <w:tcPr/>
          <w:p>
            <w:pPr>
              <w:pStyle w:val="Compact"/>
              <w:jc w:val="left"/>
            </w:pPr>
            <w:r>
              <w:t xml:space="preserve">pcs</w:t>
            </w:r>
          </w:p>
        </w:tc>
        <w:tc>
          <w:tcPr/>
          <w:p>
            <w:pPr>
              <w:pStyle w:val="Compact"/>
              <w:jc w:val="left"/>
            </w:pPr>
            <w:r>
              <w:t xml:space="preserve">950,000</w:t>
            </w:r>
          </w:p>
        </w:tc>
        <w:tc>
          <w:tcPr/>
          <w:p>
            <w:pPr>
              <w:pStyle w:val="Compact"/>
              <w:jc w:val="left"/>
            </w:pPr>
            <w:r>
              <w:t xml:space="preserve">14,250,000</w:t>
            </w:r>
          </w:p>
        </w:tc>
      </w:tr>
      <w:tr>
        <w:tc>
          <w:tcPr/>
          <w:p>
            <w:pPr>
              <w:pStyle w:val="Compact"/>
              <w:jc w:val="left"/>
            </w:pPr>
            <w:r>
              <w:t xml:space="preserve">05</w:t>
            </w:r>
          </w:p>
        </w:tc>
        <w:tc>
          <w:tcPr/>
          <w:p>
            <w:pPr>
              <w:pStyle w:val="Compact"/>
              <w:jc w:val="left"/>
            </w:pPr>
            <w:r>
              <w:t xml:space="preserve">Thermometer, infrared forehead, medical grade, Uzbekistan Tashkent approved</w:t>
            </w:r>
          </w:p>
        </w:tc>
        <w:tc>
          <w:tcPr/>
          <w:p>
            <w:pPr>
              <w:pStyle w:val="Compact"/>
              <w:jc w:val="left"/>
            </w:pPr>
            <w:r>
              <w:t xml:space="preserve">25</w:t>
            </w:r>
          </w:p>
        </w:tc>
        <w:tc>
          <w:tcPr/>
          <w:p>
            <w:pPr>
              <w:pStyle w:val="Compact"/>
              <w:jc w:val="left"/>
            </w:pPr>
            <w:r>
              <w:t xml:space="preserve">pcs</w:t>
            </w:r>
          </w:p>
        </w:tc>
        <w:tc>
          <w:tcPr/>
          <w:p>
            <w:pPr>
              <w:pStyle w:val="Compact"/>
              <w:jc w:val="left"/>
            </w:pPr>
            <w:r>
              <w:t xml:space="preserve">480,000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Examination Table, hydraulic, with disposable paper roll holder</w:t>
            </w:r>
          </w:p>
        </w:tc>
        <w:tc>
          <w:tcPr/>
          <w:p>
            <w:pPr>
              <w:pStyle w:val="Compact"/>
              <w:jc w:val="left"/>
            </w:pPr>
            <w:r>
              <w:t xml:space="preserve">4</w:t>
            </w:r>
          </w:p>
        </w:tc>
        <w:tc>
          <w:tcPr/>
          <w:p>
            <w:pPr>
              <w:pStyle w:val="Compact"/>
              <w:jc w:val="left"/>
            </w:pPr>
            <w:r>
              <w:t xml:space="preserve">pcs</w:t>
            </w:r>
          </w:p>
        </w:tc>
        <w:tc>
          <w:tcPr/>
          <w:p>
            <w:pPr>
              <w:pStyle w:val="Compact"/>
              <w:jc w:val="left"/>
            </w:pPr>
            <w:r>
              <w:t xml:space="preserve">7,200,000</w:t>
            </w:r>
          </w:p>
        </w:tc>
        <w:tc>
          <w:tcPr/>
          <w:p>
            <w:pPr>
              <w:pStyle w:val="Compact"/>
              <w:jc w:val="left"/>
            </w:pPr>
            <w:r>
              <w:t xml:space="preserve">28,800,000</w:t>
            </w:r>
          </w:p>
        </w:tc>
      </w:tr>
      <w:tr>
        <w:tc>
          <w:tcPr/>
          <w:p>
            <w:pPr>
              <w:pStyle w:val="Compact"/>
              <w:jc w:val="left"/>
            </w:pPr>
            <w:r>
              <w:t xml:space="preserve">07</w:t>
            </w:r>
          </w:p>
        </w:tc>
        <w:tc>
          <w:tcPr/>
          <w:p>
            <w:pPr>
              <w:pStyle w:val="Compact"/>
              <w:jc w:val="left"/>
            </w:pPr>
            <w:r>
              <w:t xml:space="preserve">Pharmaceutical Stock: Paracetamol 500mg, 1000 tablets per box (Uzbekistan Tashkent pharmacy standard)</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85,000</w:t>
            </w:r>
          </w:p>
        </w:tc>
        <w:tc>
          <w:tcPr/>
          <w:p>
            <w:pPr>
              <w:pStyle w:val="Compact"/>
              <w:jc w:val="left"/>
            </w:pPr>
            <w:r>
              <w:t xml:space="preserve">17,000,000</w:t>
            </w:r>
          </w:p>
        </w:tc>
      </w:tr>
      <w:tr>
        <w:tc>
          <w:tcPr/>
          <w:p>
            <w:pPr>
              <w:pStyle w:val="Compact"/>
              <w:jc w:val="left"/>
            </w:pPr>
            <w:r>
              <w:t xml:space="preserve">08</w:t>
            </w:r>
          </w:p>
        </w:tc>
        <w:tc>
          <w:tcPr/>
          <w:p>
            <w:pPr>
              <w:pStyle w:val="Compact"/>
              <w:jc w:val="left"/>
            </w:pPr>
            <w:r>
              <w:t xml:space="preserve">Pharmaceutical Stock: Amoxicillin 500mg capsules, 21 caps per box</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120,000</w:t>
            </w:r>
          </w:p>
        </w:tc>
        <w:tc>
          <w:tcPr/>
          <w:p>
            <w:pPr>
              <w:pStyle w:val="Compact"/>
              <w:jc w:val="left"/>
            </w:pPr>
            <w:r>
              <w:t xml:space="preserve">18,000,000</w:t>
            </w:r>
          </w:p>
        </w:tc>
      </w:tr>
      <w:tr>
        <w:tc>
          <w:tcPr/>
          <w:p>
            <w:pPr>
              <w:pStyle w:val="Compact"/>
              <w:jc w:val="left"/>
            </w:pPr>
            <w:r>
              <w:t xml:space="preserve">09</w:t>
            </w:r>
          </w:p>
        </w:tc>
        <w:tc>
          <w:tcPr/>
          <w:p>
            <w:pPr>
              <w:pStyle w:val="Compact"/>
              <w:jc w:val="left"/>
            </w:pPr>
            <w:r>
              <w:t xml:space="preserve">Disposable Nitrile Gloves, size M, box of 100 (for Doctor General Practitioner consultations)</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95,000</w:t>
            </w:r>
          </w:p>
        </w:tc>
        <w:tc>
          <w:tcPr/>
          <w:p>
            <w:pPr>
              <w:pStyle w:val="Compact"/>
              <w:jc w:val="left"/>
            </w:pPr>
            <w:r>
              <w:t xml:space="preserve">47,500,000</w:t>
            </w:r>
          </w:p>
        </w:tc>
      </w:tr>
      <w:tr>
        <w:tc>
          <w:tcPr/>
          <w:p>
            <w:pPr>
              <w:pStyle w:val="Compact"/>
              <w:jc w:val="left"/>
            </w:pPr>
            <w:r>
              <w:t xml:space="preserve">10</w:t>
            </w:r>
          </w:p>
        </w:tc>
        <w:tc>
          <w:tcPr/>
          <w:p>
            <w:pPr>
              <w:pStyle w:val="Compact"/>
              <w:jc w:val="left"/>
            </w:pPr>
            <w:r>
              <w:t xml:space="preserve">Patient Medical Record Folders, A4, with Uzbek and Russian language headers</w:t>
            </w:r>
          </w:p>
        </w:tc>
        <w:tc>
          <w:tcPr/>
          <w:p>
            <w:pPr>
              <w:pStyle w:val="Compact"/>
              <w:jc w:val="left"/>
            </w:pPr>
            <w:r>
              <w:t xml:space="preserve">2,000</w:t>
            </w:r>
          </w:p>
        </w:tc>
        <w:tc>
          <w:tcPr/>
          <w:p>
            <w:pPr>
              <w:pStyle w:val="Compact"/>
              <w:jc w:val="left"/>
            </w:pPr>
            <w:r>
              <w:t xml:space="preserve">pcs</w:t>
            </w:r>
          </w:p>
        </w:tc>
        <w:tc>
          <w:tcPr/>
          <w:p>
            <w:pPr>
              <w:pStyle w:val="Compact"/>
              <w:jc w:val="left"/>
            </w:pPr>
            <w:r>
              <w:t xml:space="preserve">12,000</w:t>
            </w:r>
          </w:p>
        </w:tc>
        <w:tc>
          <w:tcPr/>
          <w:p>
            <w:pPr>
              <w:pStyle w:val="Compact"/>
              <w:jc w:val="left"/>
            </w:pPr>
            <w:r>
              <w:t xml:space="preserve">24,000,000</w:t>
            </w:r>
          </w:p>
        </w:tc>
      </w:tr>
      <w:tr>
        <w:tc>
          <w:tcPr/>
          <w:p>
            <w:pPr>
              <w:pStyle w:val="Compact"/>
              <w:jc w:val="left"/>
            </w:pPr>
            <w:r>
              <w:t xml:space="preserve">11</w:t>
            </w:r>
          </w:p>
        </w:tc>
        <w:tc>
          <w:tcPr/>
          <w:p>
            <w:pPr>
              <w:pStyle w:val="Compact"/>
              <w:jc w:val="left"/>
            </w:pPr>
            <w:r>
              <w:t xml:space="preserve">Medical Waste Disposal Bags, 120L, biohazard rated, for Uzbekistan Tashkent clinic compliance</w:t>
            </w:r>
          </w:p>
        </w:tc>
        <w:tc>
          <w:tcPr/>
          <w:p>
            <w:pPr>
              <w:pStyle w:val="Compact"/>
              <w:jc w:val="left"/>
            </w:pPr>
            <w:r>
              <w:t xml:space="preserve">300</w:t>
            </w:r>
          </w:p>
        </w:tc>
        <w:tc>
          <w:tcPr/>
          <w:p>
            <w:pPr>
              <w:pStyle w:val="Compact"/>
              <w:jc w:val="left"/>
            </w:pPr>
            <w:r>
              <w:t xml:space="preserve">pcs</w:t>
            </w:r>
          </w:p>
        </w:tc>
        <w:tc>
          <w:tcPr/>
          <w:p>
            <w:pPr>
              <w:pStyle w:val="Compact"/>
              <w:jc w:val="left"/>
            </w:pPr>
            <w:r>
              <w:t xml:space="preserve">45,000</w:t>
            </w:r>
          </w:p>
        </w:tc>
        <w:tc>
          <w:tcPr/>
          <w:p>
            <w:pPr>
              <w:pStyle w:val="Compact"/>
              <w:jc w:val="left"/>
            </w:pPr>
            <w:r>
              <w:t xml:space="preserve">13,500,000</w:t>
            </w:r>
          </w:p>
        </w:tc>
      </w:tr>
      <w:tr>
        <w:tc>
          <w:tcPr/>
          <w:p>
            <w:pPr>
              <w:pStyle w:val="Compact"/>
              <w:jc w:val="left"/>
            </w:pPr>
            <w:r>
              <w:t xml:space="preserve">12</w:t>
            </w:r>
          </w:p>
        </w:tc>
        <w:tc>
          <w:tcPr/>
          <w:p>
            <w:pPr>
              <w:pStyle w:val="Compact"/>
              <w:jc w:val="left"/>
            </w:pPr>
            <w:r>
              <w:t xml:space="preserve">Refillable Syringes, 5ml, sterile, individually packaged</w:t>
            </w:r>
          </w:p>
        </w:tc>
        <w:tc>
          <w:tcPr/>
          <w:p>
            <w:pPr>
              <w:pStyle w:val="Compact"/>
              <w:jc w:val="left"/>
            </w:pPr>
            <w:r>
              <w:t xml:space="preserve">1,000</w:t>
            </w:r>
          </w:p>
        </w:tc>
        <w:tc>
          <w:tcPr/>
          <w:p>
            <w:pPr>
              <w:pStyle w:val="Compact"/>
              <w:jc w:val="left"/>
            </w:pPr>
            <w:r>
              <w:t xml:space="preserve">pcs</w:t>
            </w:r>
          </w:p>
        </w:tc>
        <w:tc>
          <w:tcPr/>
          <w:p>
            <w:pPr>
              <w:pStyle w:val="Compact"/>
              <w:jc w:val="left"/>
            </w:pPr>
            <w:r>
              <w:t xml:space="preserve">18,000</w:t>
            </w:r>
          </w:p>
        </w:tc>
        <w:tc>
          <w:tcPr/>
          <w:p>
            <w:pPr>
              <w:pStyle w:val="Compact"/>
              <w:jc w:val="left"/>
            </w:pPr>
            <w:r>
              <w:t xml:space="preserve">18,000,000</w:t>
            </w:r>
          </w:p>
        </w:tc>
      </w:tr>
    </w:tbl>
    <w:bookmarkEnd w:id="22"/>
    <w:bookmarkStart w:id="23" w:name="subtotal-and-totals"/>
    <w:p>
      <w:pPr>
        <w:pStyle w:val="Heading2"/>
      </w:pPr>
      <w:r>
        <w:t xml:space="preserve">4. Subtotal and Totals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(UZS)</w:t>
            </w:r>
          </w:p>
        </w:tc>
      </w:tr>
      <w:tr>
        <w:tc>
          <w:tcPr/>
          <w:p>
            <w:pPr>
              <w:pStyle w:val="Compact"/>
              <w:jc w:val="left"/>
            </w:pPr>
            <w:r>
              <w:t xml:space="preserve">Subtotal (Items 01–12)</w:t>
            </w:r>
          </w:p>
        </w:tc>
        <w:tc>
          <w:tcPr/>
          <w:p>
            <w:pPr>
              <w:pStyle w:val="Compact"/>
              <w:jc w:val="left"/>
            </w:pPr>
            <w:r>
              <w:t xml:space="preserve">293,150,000</w:t>
            </w:r>
          </w:p>
        </w:tc>
      </w:tr>
      <w:tr>
        <w:tc>
          <w:tcPr/>
          <w:p>
            <w:pPr>
              <w:pStyle w:val="Compact"/>
              <w:jc w:val="left"/>
            </w:pPr>
            <w:r>
              <w:t xml:space="preserve">VAT (12% per Uzbekistan Tashkent tax regulations)</w:t>
            </w:r>
          </w:p>
        </w:tc>
        <w:tc>
          <w:tcPr/>
          <w:p>
            <w:pPr>
              <w:pStyle w:val="Compact"/>
              <w:jc w:val="left"/>
            </w:pPr>
            <w:r>
              <w:t xml:space="preserve">35,178,000</w:t>
            </w:r>
          </w:p>
        </w:tc>
      </w:tr>
      <w:tr>
        <w:tc>
          <w:tcPr/>
          <w:p>
            <w:pPr>
              <w:pStyle w:val="Compact"/>
              <w:jc w:val="left"/>
            </w:pPr>
            <w:r>
              <w:t xml:space="preserve">Delivery and Installation (within Tashkent city limits)</w:t>
            </w:r>
          </w:p>
        </w:tc>
        <w:tc>
          <w:tcPr/>
          <w:p>
            <w:pPr>
              <w:pStyle w:val="Compact"/>
              <w:jc w:val="left"/>
            </w:pPr>
            <w:r>
              <w:t xml:space="preserve">4,500,000</w:t>
            </w:r>
          </w:p>
        </w:tc>
      </w:tr>
      <w:tr>
        <w:tc>
          <w:tcPr/>
          <w:p>
            <w:pPr>
              <w:pStyle w:val="Compact"/>
              <w:jc w:val="left"/>
            </w:pPr>
            <w:r>
              <w:t xml:space="preserve">GRAND TOTAL</w:t>
            </w:r>
          </w:p>
        </w:tc>
        <w:tc>
          <w:tcPr/>
          <w:p>
            <w:pPr>
              <w:pStyle w:val="Compact"/>
              <w:jc w:val="left"/>
            </w:pPr>
            <w:r>
              <w:t xml:space="preserve">332,828,000 UZS</w:t>
            </w:r>
          </w:p>
        </w:tc>
      </w:tr>
    </w:tbl>
    <w:bookmarkEnd w:id="23"/>
    <w:bookmarkStart w:id="24" w:name="delivery-and-acceptance-terms"/>
    <w:p>
      <w:pPr>
        <w:pStyle w:val="Heading2"/>
      </w:pPr>
      <w:r>
        <w:t xml:space="preserve">5. Delivery and Acceptance Terms</w:t>
      </w:r>
    </w:p>
    <w:p>
      <w:pPr>
        <w:pStyle w:val="FirstParagraph"/>
      </w:pPr>
      <w:r>
        <w:t xml:space="preserve">All goods specified in this Purchase Order shall be delivered to the Tashkent City General Practitioner Clinic located at 42 Amir Temur Avenue, Tashkent, Uzbekistan, no later than 05 July 2025. Delivery must occur between 09:00 and 16:00 local time (UTC+5). The supplier is responsible for all transportation, insurance, and handling costs within Uzbekistan Tashkent. Upon delivery, the Doctor General Practitioner and clinic administrative staff shall inspect all items for completeness, damage, and regulatory compliance. A written acceptance certificate, signed by the Doctor General Practitioner in charge, must be issued within five (5) business days of delivery. Any discrepancies, shortages, or non-conforming items must be reported in writing to the supplier within the same five-day window. The supplier shall replace or rectify non-conforming goods at no additional cost to the clinic within ten (10) business days of notification.</w:t>
      </w:r>
    </w:p>
    <w:bookmarkEnd w:id="24"/>
    <w:bookmarkStart w:id="25" w:name="payment-terms-and-banking-details"/>
    <w:p>
      <w:pPr>
        <w:pStyle w:val="Heading2"/>
      </w:pPr>
      <w:r>
        <w:t xml:space="preserve">6. Payment Terms and Banking Details</w:t>
      </w:r>
    </w:p>
    <w:p>
      <w:pPr>
        <w:pStyle w:val="FirstParagraph"/>
      </w:pPr>
      <w:r>
        <w:t xml:space="preserve">Payment shall be made within thirty (30) calendar days from the date of the supplier's invoice, provided that all goods have been accepted in full compliance with this Purchase Order. Payment shall be executed via bank transfer to the following account: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Bank</w:t>
            </w:r>
          </w:p>
        </w:tc>
        <w:tc>
          <w:tcPr/>
          <w:p>
            <w:pPr>
              <w:pStyle w:val="Compact"/>
              <w:jc w:val="left"/>
            </w:pPr>
            <w:r>
              <w:t xml:space="preserve">Agent Bank JSC, Tashkent Branch, Uzbekistan</w:t>
            </w:r>
          </w:p>
        </w:tc>
      </w:tr>
      <w:tr>
        <w:tc>
          <w:tcPr/>
          <w:p>
            <w:pPr>
              <w:pStyle w:val="Compact"/>
              <w:jc w:val="left"/>
            </w:pPr>
            <w:r>
              <w:t xml:space="preserve">Account Name</w:t>
            </w:r>
          </w:p>
        </w:tc>
        <w:tc>
          <w:tcPr/>
          <w:p>
            <w:pPr>
              <w:pStyle w:val="Compact"/>
              <w:jc w:val="left"/>
            </w:pPr>
            <w:r>
              <w:t xml:space="preserve">MedSupply Central Asia LLC</w:t>
            </w:r>
          </w:p>
        </w:tc>
      </w:tr>
      <w:tr>
        <w:tc>
          <w:tcPr/>
          <w:p>
            <w:pPr>
              <w:pStyle w:val="Compact"/>
              <w:jc w:val="left"/>
            </w:pPr>
            <w:r>
              <w:t xml:space="preserve">IBAN</w:t>
            </w:r>
          </w:p>
        </w:tc>
        <w:tc>
          <w:tcPr/>
          <w:p>
            <w:pPr>
              <w:pStyle w:val="Compact"/>
              <w:jc w:val="left"/>
            </w:pPr>
            <w:r>
              <w:t xml:space="preserve">UZ00 AGNT 9060 0000 1234 5678</w:t>
            </w:r>
          </w:p>
        </w:tc>
      </w:tr>
      <w:tr>
        <w:tc>
          <w:tcPr/>
          <w:p>
            <w:pPr>
              <w:pStyle w:val="Compact"/>
              <w:jc w:val="left"/>
            </w:pPr>
            <w:r>
              <w:t xml:space="preserve">SWIFT / BIC</w:t>
            </w:r>
          </w:p>
        </w:tc>
        <w:tc>
          <w:tcPr/>
          <w:p>
            <w:pPr>
              <w:pStyle w:val="Compact"/>
              <w:jc w:val="left"/>
            </w:pPr>
            <w:r>
              <w:t xml:space="preserve">AGNTUZ2X</w:t>
            </w:r>
          </w:p>
        </w:tc>
      </w:tr>
    </w:tbl>
    <w:p>
      <w:pPr>
        <w:pStyle w:val="BodyText"/>
      </w:pPr>
      <w:r>
        <w:t xml:space="preserve">The buyer reserves the right to withhold payment for any portion of the order that has not been delivered or accepted in accordance with the terms of this Purchase Order. All payments are subject to the tax and financial reporting requirements of the Republic of Uzbekistan as applicable in Tashkent.</w:t>
      </w:r>
    </w:p>
    <w:bookmarkEnd w:id="25"/>
    <w:bookmarkStart w:id="26" w:name="regulatory-and-compliance-requirements"/>
    <w:p>
      <w:pPr>
        <w:pStyle w:val="Heading2"/>
      </w:pPr>
      <w:r>
        <w:t xml:space="preserve">7. Regulatory and Compliance Requirements</w:t>
      </w:r>
    </w:p>
    <w:p>
      <w:pPr>
        <w:pStyle w:val="FirstParagraph"/>
      </w:pPr>
      <w:r>
        <w:t xml:space="preserve">The supplier warrants that all medical devices, pharmaceutical products, and consumables listed in this Purchase Order are fully registered and approved by the relevant authorities of the Republic of Uzbekistan, including the State Service for Control of Pharmaceutical and Medical Activities. All products must bear appropriate labeling in Uzbek and/or Russian, as required for use in Uzbekistan Tashkent healthcare settings. The supplier shall provide certificates of conformity, import permits (where applicable), and batch/lot traceability documentation for all pharmaceutical items. The Doctor General Practitioner at the receiving clinic holds ultimate clinical responsibility for the use of all procured items in patient care and shall ensure that all equipment is operated in accordance with manufacturer instructions and Uzbekistan Tashkent medical practice guidelines.</w:t>
      </w:r>
    </w:p>
    <w:bookmarkEnd w:id="26"/>
    <w:bookmarkStart w:id="27" w:name="warranties-and-after-sales-support"/>
    <w:p>
      <w:pPr>
        <w:pStyle w:val="Heading2"/>
      </w:pPr>
      <w:r>
        <w:t xml:space="preserve">8. Warranties and After-Sales Support</w:t>
      </w:r>
    </w:p>
    <w:p>
      <w:pPr>
        <w:pStyle w:val="FirstParagraph"/>
      </w:pPr>
      <w:r>
        <w:t xml:space="preserve">All medical equipment items (Items 01 through 06) carry a minimum manufacturer warranty of twenty-four (24) months from the date of acceptance. The supplier shall provide on-site technical support and repair services within Tashkent for the duration of the warranty period. Response time for warranty service requests shall not exceed forty-eight (48) hours. Pharmaceutical and consumable items (Items 07 through 12) must be delivered with a minimum remaining shelf life of eighteen (18) months from the date of delivery.</w:t>
      </w:r>
    </w:p>
    <w:bookmarkEnd w:id="27"/>
    <w:bookmarkStart w:id="28" w:name="general-conditions"/>
    <w:p>
      <w:pPr>
        <w:pStyle w:val="Heading2"/>
      </w:pPr>
      <w:r>
        <w:t xml:space="preserve">9. General Conditions</w:t>
      </w:r>
    </w:p>
    <w:p>
      <w:pPr>
        <w:pStyle w:val="FirstParagraph"/>
      </w:pPr>
      <w:r>
        <w:t xml:space="preserve">This Purchase Order is governed by the Civil Code of the Republic of Uzbekistan and applicable commercial legislation. Any disputes arising from this Purchase Order shall be resolved through negotiation between the parties, and failing such resolution, shall be submitted to the competent commercial court in Tashkent, Uzbekistan. This Purchase Order constitutes the entire agreement between the parties with respect to the subject matter herein and supersedes all prior negotiations, representations, or agreements. Amendments to this Purchase Order must be made in writing and signed by authorized representatives of both parties. The supplier shall not assign or subcontract any obligation under this Purchase Order without the prior written consent of the Tashkent City General Practitioner Clinic.</w:t>
      </w:r>
    </w:p>
    <w:bookmarkEnd w:id="28"/>
    <w:bookmarkStart w:id="29" w:name="authorization-and-signatures"/>
    <w:p>
      <w:pPr>
        <w:pStyle w:val="Heading2"/>
      </w:pPr>
      <w:r>
        <w:t xml:space="preserve">10. Authorization and Signatures</w:t>
      </w:r>
    </w:p>
    <w:p>
      <w:pPr>
        <w:pStyle w:val="FirstParagraph"/>
      </w:pPr>
      <w:r>
        <w:rPr>
          <w:bCs/>
          <w:b/>
        </w:rPr>
        <w:t xml:space="preserve">For and on behalf of the Buyer:</w:t>
      </w:r>
    </w:p>
    <w:p>
      <w:pPr>
        <w:pStyle w:val="BodyText"/>
      </w:pPr>
      <w:r>
        <w:t xml:space="preserve">Tashkent City General Practitioner Clinic</w:t>
      </w:r>
    </w:p>
    <w:p>
      <w:pPr>
        <w:pStyle w:val="BodyText"/>
      </w:pPr>
      <w:r>
        <w:t xml:space="preserve">Dr. Aziz Karimov</w:t>
      </w:r>
    </w:p>
    <w:p>
      <w:pPr>
        <w:pStyle w:val="BodyText"/>
      </w:pPr>
      <w:r>
        <w:t xml:space="preserve">Doctor General Practitioner, Chief Physician</w:t>
      </w:r>
    </w:p>
    <w:p>
      <w:pPr>
        <w:pStyle w:val="BodyText"/>
      </w:pPr>
      <w:r>
        <w:t xml:space="preserve">Date: _______________</w:t>
      </w:r>
    </w:p>
    <w:p>
      <w:pPr>
        <w:pStyle w:val="BodyText"/>
      </w:pPr>
      <w:r>
        <w:rPr>
          <w:bCs/>
          <w:b/>
        </w:rPr>
        <w:t xml:space="preserve">For and on behalf of the Supplier:</w:t>
      </w:r>
    </w:p>
    <w:p>
      <w:pPr>
        <w:pStyle w:val="BodyText"/>
      </w:pPr>
      <w:r>
        <w:t xml:space="preserve">MedSupply Central Asia LLC</w:t>
      </w:r>
    </w:p>
    <w:p>
      <w:pPr>
        <w:pStyle w:val="BodyText"/>
      </w:pPr>
      <w:r>
        <w:t xml:space="preserve">Madam Dilnoza Rahimova</w:t>
      </w:r>
    </w:p>
    <w:p>
      <w:pPr>
        <w:pStyle w:val="BodyText"/>
      </w:pPr>
      <w:r>
        <w:t xml:space="preserve">Sales Director</w:t>
      </w:r>
    </w:p>
    <w:p>
      <w:pPr>
        <w:pStyle w:val="BodyText"/>
      </w:pPr>
      <w:r>
        <w:t xml:space="preserve">Date: _______________</w:t>
      </w:r>
    </w:p>
    <w:p>
      <w:pPr>
        <w:pStyle w:val="BodyText"/>
      </w:pPr>
      <w:r>
        <w:rPr>
          <w:bCs/>
          <w:b/>
        </w:rPr>
        <w:t xml:space="preserve">Note:</w:t>
      </w:r>
      <w:r>
        <w:t xml:space="preserve"> </w:t>
      </w:r>
      <w:r>
        <w:t xml:space="preserve">This Purchase Order (PO-TMK-2025-04871) is valid for acceptance within fourteen (14) calendar days from the date of issue. After this period, the buyer reserves the right to cancel or renegotiate terms without liability. All communications regarding this Purchase Order shall be directed to the contact person listed above at the Tashkent City General Practitioner Clinic, Uzbekistan Tashkent. This document is issued in two (2) original copies, one for each party, both bearing equal legal force.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Uzbekistan Tashkent</dc:title>
  <dc:creator/>
  <dc:language>en</dc:language>
  <cp:keywords/>
  <dcterms:created xsi:type="dcterms:W3CDTF">2026-10-10T08:06:12Z</dcterms:created>
  <dcterms:modified xsi:type="dcterms:W3CDTF">2026-10-10T08:06:12Z</dcterms:modified>
</cp:coreProperties>
</file>

<file path=docProps/custom.xml><?xml version="1.0" encoding="utf-8"?>
<Properties xmlns="http://schemas.openxmlformats.org/officeDocument/2006/custom-properties" xmlns:vt="http://schemas.openxmlformats.org/officeDocument/2006/docPropsVTypes"/>
</file>