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The</w:t>
      </w:r>
      <w:r>
        <w:t xml:space="preserve"> </w:t>
      </w:r>
      <w:r>
        <w:t xml:space="preserve">Economist</w:t>
      </w:r>
      <w:r>
        <w:t xml:space="preserve"> </w:t>
      </w:r>
      <w:r>
        <w:t xml:space="preserve">-</w:t>
      </w:r>
      <w:r>
        <w:t xml:space="preserve"> </w:t>
      </w:r>
      <w:r>
        <w:t xml:space="preserve">Japan</w:t>
      </w:r>
      <w:r>
        <w:t xml:space="preserve"> </w:t>
      </w:r>
      <w:r>
        <w:t xml:space="preserve">Osaka</w:t>
      </w:r>
    </w:p>
    <w:p>
      <w:pPr>
        <w:pStyle w:val="FirstParagraph"/>
      </w:pPr>
      <w:r>
        <w:t xml:space="preserve">PO-2025-JPO-04782</w:t>
      </w:r>
    </w:p>
    <w:p>
      <w:pPr>
        <w:pStyle w:val="BodyText"/>
      </w:pPr>
      <w:r>
        <w:t xml:space="preserve">Date: 15 June 2025</w:t>
      </w:r>
    </w:p>
    <w:bookmarkStart w:id="20" w:name="purchase-order"/>
    <w:p>
      <w:pPr>
        <w:pStyle w:val="Heading1"/>
      </w:pPr>
      <w:r>
        <w:t xml:space="preserve">PURCHASE ORDER</w:t>
      </w:r>
    </w:p>
    <w:p>
      <w:pPr>
        <w:pStyle w:val="FirstParagraph"/>
      </w:pPr>
      <w:r>
        <w:t xml:space="preserve">Official Procurement Document — The Economist Publication — Japan Osaka Distribution</w:t>
      </w:r>
    </w:p>
    <w:bookmarkEnd w:id="20"/>
    <w:bookmarkStart w:id="21" w:name="purchasing-entity"/>
    <w:p>
      <w:pPr>
        <w:pStyle w:val="Heading2"/>
      </w:pPr>
      <w:r>
        <w:t xml:space="preserve">1. Purchasing Entity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Osaka Metropolitan Media &amp; Publications Consortium K.K.</w:t>
            </w:r>
          </w:p>
        </w:tc>
      </w:tr>
      <w:tr>
        <w:tc>
          <w:tcPr/>
          <w:p>
            <w:pPr>
              <w:pStyle w:val="Compact"/>
              <w:jc w:val="left"/>
            </w:pPr>
            <w:r>
              <w:rPr>
                <w:bCs/>
                <w:b/>
              </w:rPr>
              <w:t xml:space="preserve">Address:</w:t>
            </w:r>
          </w:p>
        </w:tc>
        <w:tc>
          <w:tcPr/>
          <w:p>
            <w:pPr>
              <w:pStyle w:val="Compact"/>
              <w:jc w:val="left"/>
            </w:pPr>
            <w:r>
              <w:t xml:space="preserve">3-2-1 Umeda, Kita-ku, Japan Osaka 530-0001, Japan</w:t>
            </w:r>
          </w:p>
        </w:tc>
      </w:tr>
      <w:tr>
        <w:tc>
          <w:tcPr/>
          <w:p>
            <w:pPr>
              <w:pStyle w:val="Compact"/>
              <w:jc w:val="left"/>
            </w:pPr>
            <w:r>
              <w:rPr>
                <w:bCs/>
                <w:b/>
              </w:rPr>
              <w:t xml:space="preserve">Contact Person:</w:t>
            </w:r>
          </w:p>
        </w:tc>
        <w:tc>
          <w:tcPr/>
          <w:p>
            <w:pPr>
              <w:pStyle w:val="Compact"/>
              <w:jc w:val="left"/>
            </w:pPr>
            <w:r>
              <w:t xml:space="preserve">Mr. Kenji Tanaka, Director of International Acquisitions</w:t>
            </w:r>
          </w:p>
        </w:tc>
      </w:tr>
      <w:tr>
        <w:tc>
          <w:tcPr/>
          <w:p>
            <w:pPr>
              <w:pStyle w:val="Compact"/>
              <w:jc w:val="left"/>
            </w:pPr>
            <w:r>
              <w:rPr>
                <w:bCs/>
                <w:b/>
              </w:rPr>
              <w:t xml:space="preserve">Email:</w:t>
            </w:r>
          </w:p>
        </w:tc>
        <w:tc>
          <w:tcPr/>
          <w:p>
            <w:pPr>
              <w:pStyle w:val="Compact"/>
              <w:jc w:val="left"/>
            </w:pPr>
            <w:r>
              <w:t xml:space="preserve">procurement@ommpc-osaka.jp</w:t>
            </w:r>
          </w:p>
        </w:tc>
      </w:tr>
      <w:tr>
        <w:tc>
          <w:tcPr/>
          <w:p>
            <w:pPr>
              <w:pStyle w:val="Compact"/>
              <w:jc w:val="left"/>
            </w:pPr>
            <w:r>
              <w:rPr>
                <w:bCs/>
                <w:b/>
              </w:rPr>
              <w:t xml:space="preserve">Phone:</w:t>
            </w:r>
          </w:p>
        </w:tc>
        <w:tc>
          <w:tcPr/>
          <w:p>
            <w:pPr>
              <w:pStyle w:val="Compact"/>
              <w:jc w:val="left"/>
            </w:pPr>
            <w:r>
              <w:t xml:space="preserve">+81-6-6345-8821</w:t>
            </w:r>
          </w:p>
        </w:tc>
      </w:tr>
      <w:tr>
        <w:tc>
          <w:tcPr/>
          <w:p>
            <w:pPr>
              <w:pStyle w:val="Compact"/>
              <w:jc w:val="left"/>
            </w:pPr>
            <w:r>
              <w:rPr>
                <w:bCs/>
                <w:b/>
              </w:rPr>
              <w:t xml:space="preserve">Tax ID (TOKTEI):</w:t>
            </w:r>
          </w:p>
        </w:tc>
        <w:tc>
          <w:tcPr/>
          <w:p>
            <w:pPr>
              <w:pStyle w:val="Compact"/>
              <w:jc w:val="left"/>
            </w:pPr>
            <w:r>
              <w:t xml:space="preserve">2010001234567</w:t>
            </w:r>
          </w:p>
        </w:tc>
      </w:tr>
    </w:tbl>
    <w:bookmarkEnd w:id="21"/>
    <w:bookmarkStart w:id="22" w:name="supplier-vendor"/>
    <w:p>
      <w:pPr>
        <w:pStyle w:val="Heading2"/>
      </w:pPr>
      <w:r>
        <w:t xml:space="preserve">2. Supplier / Vendor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The Economist Media Group Ltd. (London Office — Asia-Pacific Distribution)</w:t>
            </w:r>
          </w:p>
        </w:tc>
      </w:tr>
      <w:tr>
        <w:tc>
          <w:tcPr/>
          <w:p>
            <w:pPr>
              <w:pStyle w:val="Compact"/>
              <w:jc w:val="left"/>
            </w:pPr>
            <w:r>
              <w:rPr>
                <w:bCs/>
                <w:b/>
              </w:rPr>
              <w:t xml:space="preserve">Address:</w:t>
            </w:r>
          </w:p>
        </w:tc>
        <w:tc>
          <w:tcPr/>
          <w:p>
            <w:pPr>
              <w:pStyle w:val="Compact"/>
              <w:jc w:val="left"/>
            </w:pPr>
            <w:r>
              <w:t xml:space="preserve">25 St James's Street, London SW1Y 4HU, United Kingdom</w:t>
            </w:r>
          </w:p>
        </w:tc>
      </w:tr>
      <w:tr>
        <w:tc>
          <w:tcPr/>
          <w:p>
            <w:pPr>
              <w:pStyle w:val="Compact"/>
              <w:jc w:val="left"/>
            </w:pPr>
            <w:r>
              <w:rPr>
                <w:bCs/>
                <w:b/>
              </w:rPr>
              <w:t xml:space="preserve">Contact Person:</w:t>
            </w:r>
          </w:p>
        </w:tc>
        <w:tc>
          <w:tcPr/>
          <w:p>
            <w:pPr>
              <w:pStyle w:val="Compact"/>
              <w:jc w:val="left"/>
            </w:pPr>
            <w:r>
              <w:t xml:space="preserve">Ms. Sarah Whitfield, Regional Sales Manager, East Asia</w:t>
            </w:r>
          </w:p>
        </w:tc>
      </w:tr>
      <w:tr>
        <w:tc>
          <w:tcPr/>
          <w:p>
            <w:pPr>
              <w:pStyle w:val="Compact"/>
              <w:jc w:val="left"/>
            </w:pPr>
            <w:r>
              <w:rPr>
                <w:bCs/>
                <w:b/>
              </w:rPr>
              <w:t xml:space="preserve">Email:</w:t>
            </w:r>
          </w:p>
        </w:tc>
        <w:tc>
          <w:tcPr/>
          <w:p>
            <w:pPr>
              <w:pStyle w:val="Compact"/>
              <w:jc w:val="left"/>
            </w:pPr>
            <w:r>
              <w:t xml:space="preserve">apac.sales@economist.com</w:t>
            </w:r>
          </w:p>
        </w:tc>
      </w:tr>
      <w:tr>
        <w:tc>
          <w:tcPr/>
          <w:p>
            <w:pPr>
              <w:pStyle w:val="Compact"/>
              <w:jc w:val="left"/>
            </w:pPr>
            <w:r>
              <w:rPr>
                <w:bCs/>
                <w:b/>
              </w:rPr>
              <w:t xml:space="preserve">Phone:</w:t>
            </w:r>
          </w:p>
        </w:tc>
        <w:tc>
          <w:tcPr/>
          <w:p>
            <w:pPr>
              <w:pStyle w:val="Compact"/>
              <w:jc w:val="left"/>
            </w:pPr>
            <w:r>
              <w:t xml:space="preserve">+44-20-7577-3000</w:t>
            </w:r>
          </w:p>
        </w:tc>
      </w:tr>
    </w:tbl>
    <w:bookmarkEnd w:id="22"/>
    <w:bookmarkStart w:id="23" w:name="purchase-order-details"/>
    <w:p>
      <w:pPr>
        <w:pStyle w:val="Heading2"/>
      </w:pPr>
      <w:r>
        <w:t xml:space="preserve">3. Purchase Order Details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Item 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(JPY)</w:t>
            </w:r>
          </w:p>
        </w:tc>
        <w:tc>
          <w:tcPr/>
          <w:p>
            <w:pPr>
              <w:pStyle w:val="Compact"/>
              <w:jc w:val="left"/>
            </w:pPr>
            <w:r>
              <w:t xml:space="preserve">Line Total (JPY)</w:t>
            </w:r>
          </w:p>
        </w:tc>
        <w:tc>
          <w:tcPr/>
          <w:p>
            <w:pPr>
              <w:pStyle w:val="Compact"/>
              <w:jc w:val="left"/>
            </w:pPr>
            <w:r>
              <w:t xml:space="preserve">Delivery Window</w:t>
            </w:r>
          </w:p>
        </w:tc>
      </w:tr>
      <w:tr>
        <w:tc>
          <w:tcPr/>
          <w:p>
            <w:pPr>
              <w:pStyle w:val="Compact"/>
              <w:jc w:val="left"/>
            </w:pPr>
            <w:r>
              <w:t xml:space="preserve">1</w:t>
            </w:r>
          </w:p>
        </w:tc>
        <w:tc>
          <w:tcPr/>
          <w:p>
            <w:pPr>
              <w:pStyle w:val="Compact"/>
              <w:jc w:val="left"/>
            </w:pPr>
            <w:r>
              <w:t xml:space="preserve">The Economist Weekly Print Edition — Annual Subscription (52 issues), Japan Osaka regional edition with Japanese-language summary inserts</w:t>
            </w:r>
          </w:p>
        </w:tc>
        <w:tc>
          <w:tcPr/>
          <w:p>
            <w:pPr>
              <w:pStyle w:val="Compact"/>
              <w:jc w:val="left"/>
            </w:pPr>
            <w:r>
              <w:t xml:space="preserve">ECO-JPO-2025-A</w:t>
            </w:r>
          </w:p>
        </w:tc>
        <w:tc>
          <w:tcPr/>
          <w:p>
            <w:pPr>
              <w:pStyle w:val="Compact"/>
              <w:jc w:val="left"/>
            </w:pPr>
            <w:r>
              <w:t xml:space="preserve">2,500</w:t>
            </w:r>
          </w:p>
        </w:tc>
        <w:tc>
          <w:tcPr/>
          <w:p>
            <w:pPr>
              <w:pStyle w:val="Compact"/>
              <w:jc w:val="left"/>
            </w:pPr>
            <w:r>
              <w:t xml:space="preserve">¥18,500</w:t>
            </w:r>
          </w:p>
        </w:tc>
        <w:tc>
          <w:tcPr/>
          <w:p>
            <w:pPr>
              <w:pStyle w:val="Compact"/>
              <w:jc w:val="left"/>
            </w:pPr>
            <w:r>
              <w:t xml:space="preserve">¥46,250,000</w:t>
            </w:r>
          </w:p>
        </w:tc>
        <w:tc>
          <w:tcPr/>
          <w:p>
            <w:pPr>
              <w:pStyle w:val="Compact"/>
              <w:jc w:val="left"/>
            </w:pPr>
            <w:r>
              <w:t xml:space="preserve">Weekly, Mon AM</w:t>
            </w:r>
          </w:p>
        </w:tc>
      </w:tr>
      <w:tr>
        <w:tc>
          <w:tcPr/>
          <w:p>
            <w:pPr>
              <w:pStyle w:val="Compact"/>
              <w:jc w:val="left"/>
            </w:pPr>
            <w:r>
              <w:t xml:space="preserve">2</w:t>
            </w:r>
          </w:p>
        </w:tc>
        <w:tc>
          <w:tcPr/>
          <w:p>
            <w:pPr>
              <w:pStyle w:val="Compact"/>
              <w:jc w:val="left"/>
            </w:pPr>
            <w:r>
              <w:t xml:space="preserve">The Economist Digital Access License — Institutional Subscription for Japan Osaka University Consortium (unlimited concurrent users, 12 months)</w:t>
            </w:r>
          </w:p>
        </w:tc>
        <w:tc>
          <w:tcPr/>
          <w:p>
            <w:pPr>
              <w:pStyle w:val="Compact"/>
              <w:jc w:val="left"/>
            </w:pPr>
            <w:r>
              <w:t xml:space="preserve">ECO-JPO-2025-D</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c>
          <w:tcPr/>
          <w:p>
            <w:pPr>
              <w:pStyle w:val="Compact"/>
              <w:jc w:val="left"/>
            </w:pPr>
            <w:r>
              <w:t xml:space="preserve">Immediate</w:t>
            </w:r>
          </w:p>
        </w:tc>
      </w:tr>
      <w:tr>
        <w:tc>
          <w:tcPr/>
          <w:p>
            <w:pPr>
              <w:pStyle w:val="Compact"/>
              <w:jc w:val="left"/>
            </w:pPr>
            <w:r>
              <w:t xml:space="preserve">3</w:t>
            </w:r>
          </w:p>
        </w:tc>
        <w:tc>
          <w:tcPr/>
          <w:p>
            <w:pPr>
              <w:pStyle w:val="Compact"/>
              <w:jc w:val="left"/>
            </w:pPr>
            <w:r>
              <w:t xml:space="preserve">The Economist Special Report: "Asia-Pacific Economic Outlook 2025" — Print Run for Japan Osaka Business Council Distribution</w:t>
            </w:r>
          </w:p>
        </w:tc>
        <w:tc>
          <w:tcPr/>
          <w:p>
            <w:pPr>
              <w:pStyle w:val="Compact"/>
              <w:jc w:val="left"/>
            </w:pPr>
            <w:r>
              <w:t xml:space="preserve">ECO-JPO-2025-SR</w:t>
            </w:r>
          </w:p>
        </w:tc>
        <w:tc>
          <w:tcPr/>
          <w:p>
            <w:pPr>
              <w:pStyle w:val="Compact"/>
              <w:jc w:val="left"/>
            </w:pPr>
            <w:r>
              <w:t xml:space="preserve">5,000</w:t>
            </w:r>
          </w:p>
        </w:tc>
        <w:tc>
          <w:tcPr/>
          <w:p>
            <w:pPr>
              <w:pStyle w:val="Compact"/>
              <w:jc w:val="left"/>
            </w:pPr>
            <w:r>
              <w:t xml:space="preserve">¥2,800</w:t>
            </w:r>
          </w:p>
        </w:tc>
        <w:tc>
          <w:tcPr/>
          <w:p>
            <w:pPr>
              <w:pStyle w:val="Compact"/>
              <w:jc w:val="left"/>
            </w:pPr>
            <w:r>
              <w:t xml:space="preserve">¥14,000,000</w:t>
            </w:r>
          </w:p>
        </w:tc>
        <w:tc>
          <w:tcPr/>
          <w:p>
            <w:pPr>
              <w:pStyle w:val="Compact"/>
              <w:jc w:val="left"/>
            </w:pPr>
            <w:r>
              <w:t xml:space="preserve">Within 10 business days</w:t>
            </w:r>
          </w:p>
        </w:tc>
      </w:tr>
      <w:tr>
        <w:tc>
          <w:tcPr/>
          <w:p>
            <w:pPr>
              <w:pStyle w:val="Compact"/>
              <w:jc w:val="left"/>
            </w:pPr>
            <w:r>
              <w:t xml:space="preserve">4</w:t>
            </w:r>
          </w:p>
        </w:tc>
        <w:tc>
          <w:tcPr/>
          <w:p>
            <w:pPr>
              <w:pStyle w:val="Compact"/>
              <w:jc w:val="left"/>
            </w:pPr>
            <w:r>
              <w:t xml:space="preserve">The Economist Podcast+ Annual License — Japan Osaka Public Library Network (200 branch locations)</w:t>
            </w:r>
          </w:p>
        </w:tc>
        <w:tc>
          <w:tcPr/>
          <w:p>
            <w:pPr>
              <w:pStyle w:val="Compact"/>
              <w:jc w:val="left"/>
            </w:pPr>
            <w:r>
              <w:t xml:space="preserve">ECO-JPO-2025-P</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Immediate</w:t>
            </w:r>
          </w:p>
        </w:tc>
      </w:tr>
      <w:tr>
        <w:tc>
          <w:tcPr/>
          <w:p>
            <w:pPr>
              <w:pStyle w:val="Compact"/>
              <w:jc w:val="left"/>
            </w:pPr>
            <w:r>
              <w:t xml:space="preserve">5</w:t>
            </w:r>
          </w:p>
        </w:tc>
        <w:tc>
          <w:tcPr/>
          <w:p>
            <w:pPr>
              <w:pStyle w:val="Compact"/>
              <w:jc w:val="left"/>
            </w:pPr>
            <w:r>
              <w:t xml:space="preserve">Custom Branded Display Stands for The Economist — Japan Osaka Central Station Kiosk &amp; Umeda Commercial District Retail Points (12 units)</w:t>
            </w:r>
          </w:p>
        </w:tc>
        <w:tc>
          <w:tcPr/>
          <w:p>
            <w:pPr>
              <w:pStyle w:val="Compact"/>
              <w:jc w:val="left"/>
            </w:pPr>
            <w:r>
              <w:t xml:space="preserve">ECO-JPO-2025-DS</w:t>
            </w:r>
          </w:p>
        </w:tc>
        <w:tc>
          <w:tcPr/>
          <w:p>
            <w:pPr>
              <w:pStyle w:val="Compact"/>
              <w:jc w:val="left"/>
            </w:pPr>
            <w:r>
              <w:t xml:space="preserve">12</w:t>
            </w:r>
          </w:p>
        </w:tc>
        <w:tc>
          <w:tcPr/>
          <w:p>
            <w:pPr>
              <w:pStyle w:val="Compact"/>
              <w:jc w:val="left"/>
            </w:pPr>
            <w:r>
              <w:t xml:space="preserve">¥95,000</w:t>
            </w:r>
          </w:p>
        </w:tc>
        <w:tc>
          <w:tcPr/>
          <w:p>
            <w:pPr>
              <w:pStyle w:val="Compact"/>
              <w:jc w:val="left"/>
            </w:pPr>
            <w:r>
              <w:t xml:space="preserve">¥1,140,000</w:t>
            </w:r>
          </w:p>
        </w:tc>
        <w:tc>
          <w:tcPr/>
          <w:p>
            <w:pPr>
              <w:pStyle w:val="Compact"/>
              <w:jc w:val="left"/>
            </w:pPr>
            <w:r>
              <w:t xml:space="preserve">Within 30 days</w:t>
            </w:r>
          </w:p>
        </w:tc>
      </w:tr>
      <w:tr>
        <w:tc>
          <w:tcPr>
            <w:gridSpan w:val="5"/>
          </w:tcPr>
          <w:p>
            <w:pPr>
              <w:pStyle w:val="Compact"/>
              <w:jc w:val="right"/>
            </w:pPr>
            <w:r>
              <w:t xml:space="preserve">Subtotal:</w:t>
            </w:r>
          </w:p>
        </w:tc>
        <w:tc>
          <w:tcPr/>
          <w:p>
            <w:pPr>
              <w:pStyle w:val="Compact"/>
              <w:jc w:val="left"/>
            </w:pPr>
            <w:r>
              <w:t xml:space="preserve">¥66,440,000</w:t>
            </w:r>
          </w:p>
        </w:tc>
        <w:tc>
          <w:tcPr/>
          <w:p>
            <w:pPr>
              <w:pStyle w:val="Compact"/>
            </w:pPr>
          </w:p>
        </w:tc>
      </w:tr>
      <w:tr>
        <w:tc>
          <w:tcPr>
            <w:gridSpan w:val="5"/>
          </w:tcPr>
          <w:p>
            <w:pPr>
              <w:pStyle w:val="Compact"/>
              <w:jc w:val="right"/>
            </w:pPr>
            <w:r>
              <w:t xml:space="preserve">Consumption Tax (10% — Japan Osaka Municipal):</w:t>
            </w:r>
          </w:p>
        </w:tc>
        <w:tc>
          <w:tcPr/>
          <w:p>
            <w:pPr>
              <w:pStyle w:val="Compact"/>
              <w:jc w:val="left"/>
            </w:pPr>
            <w:r>
              <w:t xml:space="preserve">¥6,644,000</w:t>
            </w:r>
          </w:p>
        </w:tc>
        <w:tc>
          <w:tcPr/>
          <w:p>
            <w:pPr>
              <w:pStyle w:val="Compact"/>
            </w:pPr>
          </w:p>
        </w:tc>
      </w:tr>
      <w:tr>
        <w:tc>
          <w:tcPr>
            <w:gridSpan w:val="5"/>
          </w:tcPr>
          <w:p>
            <w:pPr>
              <w:pStyle w:val="Compact"/>
              <w:jc w:val="right"/>
            </w:pPr>
            <w:r>
              <w:t xml:space="preserve">International Shipping &amp; Customs Clearance (Japan Osaka Port):</w:t>
            </w:r>
          </w:p>
        </w:tc>
        <w:tc>
          <w:tcPr/>
          <w:p>
            <w:pPr>
              <w:pStyle w:val="Compact"/>
              <w:jc w:val="left"/>
            </w:pPr>
            <w:r>
              <w:t xml:space="preserve">¥1,275,000</w:t>
            </w:r>
          </w:p>
        </w:tc>
        <w:tc>
          <w:tcPr/>
          <w:p>
            <w:pPr>
              <w:pStyle w:val="Compact"/>
            </w:pPr>
          </w:p>
        </w:tc>
      </w:tr>
      <w:tr>
        <w:tc>
          <w:tcPr>
            <w:gridSpan w:val="5"/>
          </w:tcPr>
          <w:p>
            <w:pPr>
              <w:pStyle w:val="Compact"/>
              <w:jc w:val="right"/>
            </w:pPr>
            <w:r>
              <w:rPr>
                <w:bCs/>
                <w:b/>
              </w:rPr>
              <w:t xml:space="preserve">TOTAL AMOUNT DUE (JPY):</w:t>
            </w:r>
          </w:p>
        </w:tc>
        <w:tc>
          <w:tcPr/>
          <w:p>
            <w:pPr>
              <w:pStyle w:val="Compact"/>
              <w:jc w:val="left"/>
            </w:pPr>
            <w:r>
              <w:rPr>
                <w:bCs/>
                <w:b/>
              </w:rPr>
              <w:t xml:space="preserve">¥74,359,000</w:t>
            </w:r>
          </w:p>
        </w:tc>
        <w:tc>
          <w:tcPr/>
          <w:p>
            <w:pPr>
              <w:pStyle w:val="Compact"/>
            </w:pPr>
          </w:p>
        </w:tc>
      </w:tr>
    </w:tbl>
    <w:bookmarkEnd w:id="23"/>
    <w:bookmarkStart w:id="24" w:name="delivery-logistics-japan-osaka"/>
    <w:p>
      <w:pPr>
        <w:pStyle w:val="Heading2"/>
      </w:pPr>
      <w:r>
        <w:t xml:space="preserve">4. Delivery &amp; Logistics (Japan Osaka)</w:t>
      </w:r>
    </w:p>
    <w:p>
      <w:pPr>
        <w:pStyle w:val="FirstParagraph"/>
      </w:pPr>
      <w:r>
        <w:t xml:space="preserve">All physical copies of</w:t>
      </w:r>
      <w:r>
        <w:t xml:space="preserve"> </w:t>
      </w:r>
      <w:r>
        <w:t xml:space="preserve">The Economist</w:t>
      </w:r>
      <w:r>
        <w:t xml:space="preserve"> </w:t>
      </w:r>
      <w:r>
        <w:t xml:space="preserve">shall be delivered to the designated Japan Osaka distribution warehouse located at 8-1-3 Nakanoshima, Kita-ku, Japan Osaka 530-0003. The supplier is responsible for all international freight from the United Kingdom to the Port of Japan Osaka, including customs brokerage, import duties, and final-mile delivery within the Japan Osaka metropolitan area. Digital licenses for</w:t>
      </w:r>
      <w:r>
        <w:t xml:space="preserve"> </w:t>
      </w:r>
      <w:r>
        <w:t xml:space="preserve">The Economist</w:t>
      </w:r>
      <w:r>
        <w:t xml:space="preserve"> </w:t>
      </w:r>
      <w:r>
        <w:t xml:space="preserve">platform shall be activated no later than the date specified in Section 3. The Japan Osaka distribution team will coordinate weekly print deliveries to 140 retail points across the Japan Osaka prefecture, including major commercial districts in Umeda, Namba, and Tennoji.</w:t>
      </w:r>
    </w:p>
    <w:bookmarkEnd w:id="24"/>
    <w:bookmarkStart w:id="25" w:name="payment-terms"/>
    <w:p>
      <w:pPr>
        <w:pStyle w:val="Heading2"/>
      </w:pPr>
      <w:r>
        <w:t xml:space="preserve">5. Payment Terms</w:t>
      </w:r>
    </w:p>
    <w:p>
      <w:pPr>
        <w:pStyle w:val="FirstParagraph"/>
      </w:pPr>
      <w:r>
        <w:t xml:space="preserve">Payment for this</w:t>
      </w:r>
      <w:r>
        <w:t xml:space="preserve"> </w:t>
      </w:r>
      <w:r>
        <w:t xml:space="preserve">Purchase Order</w:t>
      </w:r>
      <w:r>
        <w:t xml:space="preserve"> </w:t>
      </w:r>
      <w:r>
        <w:t xml:space="preserve">shall be made via international wire transfer to the supplier's designated account within 30 days of the invoice date. The currency of settlement shall be Japanese Yen (JPY). A 2% early-payment discount applies if the full amount is remitted within 10 days of invoice issuance. Late payments shall accrue interest at 1.5% per month in accordance with Japan Osaka commercial transaction regulations. The purchasing entity reserves the right to withhold payment for any line item where delivery to Japan Osaka does not meet the quality and timing specifications outlined in this</w:t>
      </w:r>
      <w:r>
        <w:t xml:space="preserve"> </w:t>
      </w:r>
      <w:r>
        <w:t xml:space="preserve">Purchase Order</w:t>
      </w:r>
      <w:r>
        <w:t xml:space="preserve">.</w:t>
      </w:r>
    </w:p>
    <w:bookmarkEnd w:id="25"/>
    <w:bookmarkStart w:id="26" w:name="terms-conditions"/>
    <w:p>
      <w:pPr>
        <w:pStyle w:val="Heading2"/>
      </w:pPr>
      <w:r>
        <w:t xml:space="preserve">6. Terms &amp;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purchasing entity and the supplier upon countersignature by both parties.</w:t>
      </w:r>
    </w:p>
    <w:p>
      <w:pPr>
        <w:numPr>
          <w:ilvl w:val="0"/>
          <w:numId w:val="1001"/>
        </w:numPr>
        <w:pStyle w:val="Compact"/>
      </w:pPr>
      <w:r>
        <w:t xml:space="preserve">All copies of</w:t>
      </w:r>
      <w:r>
        <w:t xml:space="preserve"> </w:t>
      </w:r>
      <w:r>
        <w:t xml:space="preserve">The Economist</w:t>
      </w:r>
      <w:r>
        <w:t xml:space="preserve"> </w:t>
      </w:r>
      <w:r>
        <w:t xml:space="preserve">delivered to Japan Osaka must be in pristine condition, free from shipping damage, and must include the Japan Osaka regional supplement where applicable.</w:t>
      </w:r>
    </w:p>
    <w:p>
      <w:pPr>
        <w:numPr>
          <w:ilvl w:val="0"/>
          <w:numId w:val="1001"/>
        </w:numPr>
        <w:pStyle w:val="Compact"/>
      </w:pPr>
      <w:r>
        <w:t xml:space="preserve">The supplier guarantees that all digital access to</w:t>
      </w:r>
      <w:r>
        <w:t xml:space="preserve"> </w:t>
      </w:r>
      <w:r>
        <w:t xml:space="preserve">The Economist</w:t>
      </w:r>
      <w:r>
        <w:t xml:space="preserve"> </w:t>
      </w:r>
      <w:r>
        <w:t xml:space="preserve">platform will maintain 99.5% uptime throughout the subscription period for Japan Osaka institutional users.</w:t>
      </w:r>
    </w:p>
    <w:p>
      <w:pPr>
        <w:numPr>
          <w:ilvl w:val="0"/>
          <w:numId w:val="1001"/>
        </w:numPr>
        <w:pStyle w:val="Compact"/>
      </w:pPr>
      <w:r>
        <w:t xml:space="preserve">Intellectual property rights for</w:t>
      </w:r>
      <w:r>
        <w:t xml:space="preserve"> </w:t>
      </w:r>
      <w:r>
        <w:t xml:space="preserve">The Economist</w:t>
      </w:r>
      <w:r>
        <w:t xml:space="preserve"> </w:t>
      </w:r>
      <w:r>
        <w:t xml:space="preserve">content remain solely with The Economist Media Group Ltd. This</w:t>
      </w:r>
      <w:r>
        <w:t xml:space="preserve"> </w:t>
      </w:r>
      <w:r>
        <w:t xml:space="preserve">Purchase Order</w:t>
      </w:r>
      <w:r>
        <w:t xml:space="preserve"> </w:t>
      </w:r>
      <w:r>
        <w:t xml:space="preserve">grants only the right of distribution and reader access within Japan Osaka and the broader Kansai region.</w:t>
      </w:r>
    </w:p>
    <w:p>
      <w:pPr>
        <w:numPr>
          <w:ilvl w:val="0"/>
          <w:numId w:val="1001"/>
        </w:numPr>
        <w:pStyle w:val="Compact"/>
      </w:pPr>
      <w:r>
        <w:t xml:space="preserve">Any modifications to this</w:t>
      </w:r>
      <w:r>
        <w:t xml:space="preserve"> </w:t>
      </w:r>
      <w:r>
        <w:t xml:space="preserve">Purchase Order</w:t>
      </w:r>
      <w:r>
        <w:t xml:space="preserve"> </w:t>
      </w:r>
      <w:r>
        <w:t xml:space="preserve">must be made in writing and signed by authorized representatives of both parties. Verbal agreements regarding delivery schedules in Japan Osaka are not binding.</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arbitration in Japan Osaka under the rules of the Japan Commercial Arbitration Association (JCAA).</w:t>
      </w:r>
    </w:p>
    <w:p>
      <w:pPr>
        <w:numPr>
          <w:ilvl w:val="0"/>
          <w:numId w:val="1001"/>
        </w:numPr>
        <w:pStyle w:val="Compact"/>
      </w:pPr>
      <w:r>
        <w:t xml:space="preserve">The supplier shall provide a Certificate of Origin for all print materials to facilitate smooth customs clearance at Japan Osaka Port.</w:t>
      </w:r>
    </w:p>
    <w:p>
      <w:pPr>
        <w:numPr>
          <w:ilvl w:val="0"/>
          <w:numId w:val="1001"/>
        </w:numPr>
        <w:pStyle w:val="Compact"/>
      </w:pPr>
      <w:r>
        <w:t xml:space="preserve">Force majeure events, including but not limited to typhoons affecting the Japan Osaka region, shall extend delivery deadlines by a period equivalent to the duration of the disruption.</w:t>
      </w:r>
    </w:p>
    <w:bookmarkEnd w:id="26"/>
    <w:bookmarkStart w:id="27" w:name="authorization-signatures"/>
    <w:p>
      <w:pPr>
        <w:pStyle w:val="Heading2"/>
      </w:pPr>
      <w:r>
        <w:t xml:space="preserve">7. Authorization &amp; Signatures</w:t>
      </w:r>
    </w:p>
    <w:p>
      <w:pPr>
        <w:pStyle w:val="FirstParagraph"/>
      </w:pPr>
      <w:r>
        <w:rPr>
          <w:bCs/>
          <w:b/>
        </w:rPr>
        <w:t xml:space="preserve">For the Purchasing Entity:</w:t>
      </w:r>
      <w:r>
        <w:br/>
      </w:r>
      <w:r>
        <w:t xml:space="preserve">Osaka Metropolitan Media &amp; Publications Consortium K.K.</w:t>
      </w:r>
    </w:p>
    <w:p>
      <w:pPr>
        <w:pStyle w:val="BodyText"/>
      </w:pPr>
      <w:r>
        <w:rPr>
          <w:bCs/>
          <w:b/>
        </w:rPr>
        <w:t xml:space="preserve">Name:</w:t>
      </w:r>
      <w:r>
        <w:t xml:space="preserve"> </w:t>
      </w:r>
      <w:r>
        <w:t xml:space="preserve">Kenji Tanaka</w:t>
      </w:r>
      <w:r>
        <w:br/>
      </w:r>
      <w:r>
        <w:rPr>
          <w:bCs/>
          <w:b/>
        </w:rPr>
        <w:t xml:space="preserve">Title:</w:t>
      </w:r>
      <w:r>
        <w:t xml:space="preserve"> </w:t>
      </w:r>
      <w:r>
        <w:t xml:space="preserve">Director of International Acquisitions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the Supplier:</w:t>
      </w:r>
      <w:r>
        <w:br/>
      </w:r>
      <w:r>
        <w:t xml:space="preserve">The Economist Media Group Ltd.</w:t>
      </w:r>
    </w:p>
    <w:p>
      <w:pPr>
        <w:pStyle w:val="BodyText"/>
      </w:pPr>
      <w:r>
        <w:rPr>
          <w:bCs/>
          <w:b/>
        </w:rPr>
        <w:t xml:space="preserve">Name:</w:t>
      </w:r>
      <w:r>
        <w:t xml:space="preserve"> </w:t>
      </w:r>
      <w:r>
        <w:t xml:space="preserve">Sarah Whitfield</w:t>
      </w:r>
      <w:r>
        <w:br/>
      </w:r>
      <w:r>
        <w:rPr>
          <w:bCs/>
          <w:b/>
        </w:rPr>
        <w:t xml:space="preserve">Title:</w:t>
      </w:r>
      <w:r>
        <w:t xml:space="preserve"> </w:t>
      </w:r>
      <w:r>
        <w:t xml:space="preserve">Regional Sales Manager, East Asia</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bookmarkEnd w:id="27"/>
    <w:p>
      <w:pPr>
        <w:pStyle w:val="BodyText"/>
      </w:pPr>
      <w:r>
        <w:t xml:space="preserve">Purchase Order</w:t>
      </w:r>
      <w:r>
        <w:t xml:space="preserve"> </w:t>
      </w:r>
      <w:r>
        <w:t xml:space="preserve">PO-2025-JPO-04782 —</w:t>
      </w:r>
      <w:r>
        <w:t xml:space="preserve"> </w:t>
      </w:r>
      <w:r>
        <w:t xml:space="preserve">The Economist</w:t>
      </w:r>
      <w:r>
        <w:t xml:space="preserve"> </w:t>
      </w:r>
      <w:r>
        <w:t xml:space="preserve">—</w:t>
      </w:r>
      <w:r>
        <w:t xml:space="preserve"> </w:t>
      </w:r>
      <w:r>
        <w:t xml:space="preserve">Japan Osaka</w:t>
      </w:r>
      <w:r>
        <w:t xml:space="preserve"> </w:t>
      </w:r>
      <w:r>
        <w:t xml:space="preserve">Distribution &amp; Procurement</w:t>
      </w:r>
      <w:r>
        <w:br/>
      </w:r>
      <w:r>
        <w:t xml:space="preserve">This document is the property of Osaka Metropolitan Media &amp; Publications Consortium K.K. Unauthorized reproduction is prohibited.</w:t>
      </w:r>
      <w:r>
        <w:br/>
      </w:r>
      <w:r>
        <w:t xml:space="preserve">Issued in Japan Osaka, Japan —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The Economist - Japan Osaka</dc:title>
  <dc:creator/>
  <dc:language>en</dc:language>
  <cp:keywords/>
  <dcterms:created xsi:type="dcterms:W3CDTF">2026-10-10T09:03:59Z</dcterms:created>
  <dcterms:modified xsi:type="dcterms:W3CDTF">2026-10-10T09:03:59Z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