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Magazine</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Safaricom Business Solutions Ltd. — Nairobi, Kenya</w:t>
      </w:r>
    </w:p>
    <w:p>
      <w:pPr>
        <w:pStyle w:val="BodyText"/>
      </w:pPr>
      <w:r>
        <w:t xml:space="preserve">Official Procurement Document for Periodical Publications</w:t>
      </w:r>
    </w:p>
    <w:bookmarkEnd w:id="20"/>
    <w:p>
      <w:pPr>
        <w:pStyle w:val="BodyText"/>
      </w:pPr>
      <w:r>
        <w:t xml:space="preserve">PO No: KEN-NBO-2025-04782</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Safaricom Business Solutions Ltd.</w:t>
      </w:r>
    </w:p>
    <w:p>
      <w:pPr>
        <w:pStyle w:val="BodyText"/>
      </w:pPr>
      <w:r>
        <w:rPr>
          <w:bCs/>
          <w:b/>
        </w:rPr>
        <w:t xml:space="preserve">Address:</w:t>
      </w:r>
      <w:r>
        <w:t xml:space="preserve"> </w:t>
      </w:r>
      <w:r>
        <w:t xml:space="preserve">Safaricom House, Waiyaki Way, Westlands, Kenya Nairobi</w:t>
      </w:r>
    </w:p>
    <w:p>
      <w:pPr>
        <w:pStyle w:val="BodyText"/>
      </w:pPr>
      <w:r>
        <w:rPr>
          <w:bCs/>
          <w:b/>
        </w:rPr>
        <w:t xml:space="preserve">County:</w:t>
      </w:r>
      <w:r>
        <w:t xml:space="preserve"> </w:t>
      </w:r>
      <w:r>
        <w:t xml:space="preserve">Nairobi County, Kenya</w:t>
      </w:r>
    </w:p>
    <w:p>
      <w:pPr>
        <w:pStyle w:val="BodyText"/>
      </w:pPr>
      <w:r>
        <w:rPr>
          <w:bCs/>
          <w:b/>
        </w:rPr>
        <w:t xml:space="preserve">P.O. Box:</w:t>
      </w:r>
      <w:r>
        <w:t xml:space="preserve"> </w:t>
      </w:r>
      <w:r>
        <w:t xml:space="preserve">101000-00100, Kenya Nairobi</w:t>
      </w:r>
    </w:p>
    <w:p>
      <w:pPr>
        <w:pStyle w:val="BodyText"/>
      </w:pPr>
      <w:r>
        <w:rPr>
          <w:bCs/>
          <w:b/>
        </w:rPr>
        <w:t xml:space="preserve">Phone:</w:t>
      </w:r>
      <w:r>
        <w:t xml:space="preserve"> </w:t>
      </w:r>
      <w:r>
        <w:t xml:space="preserve">+254 709 999 000</w:t>
      </w:r>
    </w:p>
    <w:p>
      <w:pPr>
        <w:pStyle w:val="BodyText"/>
      </w:pPr>
      <w:r>
        <w:rPr>
          <w:bCs/>
          <w:b/>
        </w:rPr>
        <w:t xml:space="preserve">Email:</w:t>
      </w:r>
      <w:r>
        <w:t xml:space="preserve"> </w:t>
      </w:r>
      <w:r>
        <w:t xml:space="preserve">procurement@safaricombs.co.ke</w:t>
      </w:r>
    </w:p>
    <w:p>
      <w:pPr>
        <w:pStyle w:val="BodyText"/>
      </w:pPr>
      <w:r>
        <w:rPr>
          <w:bCs/>
          <w:b/>
        </w:rPr>
        <w:t xml:space="preserve">Tax ID (KRA PIN):</w:t>
      </w:r>
      <w:r>
        <w:t xml:space="preserve"> </w:t>
      </w:r>
      <w:r>
        <w:t xml:space="preserve">P051234567X</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The Economist Group, Ltd.</w:t>
      </w:r>
    </w:p>
    <w:p>
      <w:pPr>
        <w:pStyle w:val="BodyText"/>
      </w:pPr>
      <w:r>
        <w:rPr>
          <w:bCs/>
          <w:b/>
        </w:rPr>
        <w:t xml:space="preserve">Address:</w:t>
      </w:r>
      <w:r>
        <w:t xml:space="preserve"> </w:t>
      </w:r>
      <w:r>
        <w:t xml:space="preserve">25 St James's Street, London SW1Y 4HU, United Kingdom</w:t>
      </w:r>
    </w:p>
    <w:p>
      <w:pPr>
        <w:pStyle w:val="BodyText"/>
      </w:pPr>
      <w:r>
        <w:t xml:space="preserve">p&gt;</w:t>
      </w:r>
      <w:r>
        <w:rPr>
          <w:bCs/>
          <w:b/>
        </w:rPr>
        <w:t xml:space="preserve">Regional Office:</w:t>
      </w:r>
      <w:r>
        <w:t xml:space="preserve"> </w:t>
      </w:r>
      <w:r>
        <w:t xml:space="preserve">The Economist Africa Desk, 4th Floor, Kenyatta Avenue, Kenya Nairobi</w:t>
      </w:r>
    </w:p>
    <w:p>
      <w:pPr>
        <w:pStyle w:val="BodyText"/>
      </w:pPr>
      <w:r>
        <w:rPr>
          <w:bCs/>
          <w:b/>
        </w:rPr>
        <w:t xml:space="preserve">Contact Person:</w:t>
      </w:r>
      <w:r>
        <w:t xml:space="preserve"> </w:t>
      </w:r>
      <w:r>
        <w:t xml:space="preserve">Mr. David Mwangi (Regional Sales Manager, East Africa)</w:t>
      </w:r>
    </w:p>
    <w:p>
      <w:pPr>
        <w:pStyle w:val="BodyText"/>
      </w:pPr>
      <w:r>
        <w:rPr>
          <w:bCs/>
          <w:b/>
        </w:rPr>
        <w:t xml:space="preserve">Phone:</w:t>
      </w:r>
      <w:r>
        <w:t xml:space="preserve"> </w:t>
      </w:r>
      <w:r>
        <w:t xml:space="preserve">+254 722 555 301</w:t>
      </w:r>
    </w:p>
    <w:p>
      <w:pPr>
        <w:pStyle w:val="BodyText"/>
      </w:pPr>
      <w:r>
        <w:rPr>
          <w:bCs/>
          <w:b/>
        </w:rPr>
        <w:t xml:space="preserve">Email:</w:t>
      </w:r>
      <w:r>
        <w:t xml:space="preserve"> </w:t>
      </w:r>
      <w:r>
        <w:t xml:space="preserve">eastafrica@economist.com</w:t>
      </w:r>
    </w:p>
    <w:p>
      <w:pPr>
        <w:pStyle w:val="BodyText"/>
      </w:pPr>
      <w:r>
        <w:rPr>
          <w:bCs/>
          <w:b/>
        </w:rPr>
        <w:t xml:space="preserve">Supplier Registration No:</w:t>
      </w:r>
      <w:r>
        <w:t xml:space="preserve"> </w:t>
      </w:r>
      <w:r>
        <w:t xml:space="preserve">GB-00987654</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Safaricom House, Waiyaki Way, Kenya Nairobi</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Kenyan Shillings (KES)</w:t>
      </w:r>
    </w:p>
    <w:p>
      <w:pPr>
        <w:pStyle w:val="BodyText"/>
      </w:pPr>
      <w:r>
        <w:rPr>
          <w:bCs/>
          <w:b/>
        </w:rPr>
        <w:t xml:space="preserve">Incoterms:</w:t>
      </w:r>
      <w:r>
        <w:t xml:space="preserve"> </w:t>
      </w:r>
      <w:r>
        <w:t xml:space="preserve">DDP (Delivered Duty Paid) — Kenya Nairobi</w:t>
      </w:r>
    </w:p>
    <w:bookmarkEnd w:id="23"/>
    <w:bookmarkStart w:id="24" w:name="authorized-personnel"/>
    <w:p>
      <w:pPr>
        <w:pStyle w:val="Heading3"/>
      </w:pPr>
      <w:r>
        <w:t xml:space="preserve">Authorized Personnel</w:t>
      </w:r>
    </w:p>
    <w:p>
      <w:pPr>
        <w:pStyle w:val="FirstParagraph"/>
      </w:pPr>
      <w:r>
        <w:rPr>
          <w:bCs/>
          <w:b/>
        </w:rPr>
        <w:t xml:space="preserve">Prepared By:</w:t>
      </w:r>
      <w:r>
        <w:t xml:space="preserve"> </w:t>
      </w:r>
      <w:r>
        <w:t xml:space="preserve">Ms. Amina Otieno, Procurement Officer</w:t>
      </w:r>
    </w:p>
    <w:p>
      <w:pPr>
        <w:pStyle w:val="BodyText"/>
      </w:pPr>
      <w:r>
        <w:rPr>
          <w:bCs/>
          <w:b/>
        </w:rPr>
        <w:t xml:space="preserve">Reviewed By:</w:t>
      </w:r>
      <w:r>
        <w:t xml:space="preserve"> </w:t>
      </w:r>
      <w:r>
        <w:t xml:space="preserve">Mr. James Kariuki, Head of Administration</w:t>
      </w:r>
    </w:p>
    <w:p>
      <w:pPr>
        <w:pStyle w:val="BodyText"/>
      </w:pPr>
      <w:r>
        <w:rPr>
          <w:bCs/>
          <w:b/>
        </w:rPr>
        <w:t xml:space="preserve">Approved By:</w:t>
      </w:r>
      <w:r>
        <w:t xml:space="preserve"> </w:t>
      </w:r>
      <w:r>
        <w:t xml:space="preserve">Dr. Grace Wanjiru, Chief Financial Officer</w:t>
      </w:r>
    </w:p>
    <w:p>
      <w:pPr>
        <w:pStyle w:val="BodyText"/>
      </w:pPr>
      <w:r>
        <w:rPr>
          <w:bCs/>
          <w:b/>
        </w:rPr>
        <w:t xml:space="preserve">Department:</w:t>
      </w:r>
      <w:r>
        <w:t xml:space="preserve"> </w:t>
      </w:r>
      <w:r>
        <w:t xml:space="preserve">Corporate Communications &amp; Research</w:t>
      </w:r>
    </w:p>
    <w:p>
      <w:pPr>
        <w:pStyle w:val="BodyText"/>
      </w:pPr>
      <w:r>
        <w:rPr>
          <w:bCs/>
          <w:b/>
        </w:rPr>
        <w:t xml:space="preserve">Cost Centre:</w:t>
      </w:r>
      <w:r>
        <w:t xml:space="preserve"> </w:t>
      </w:r>
      <w:r>
        <w:t xml:space="preserve">CC-2025-0047 (Periodicals &amp; Research)</w:t>
      </w:r>
    </w:p>
    <w:bookmarkEnd w:id="24"/>
    <w:bookmarkStart w:id="26" w:name="Xb76349c22ca095ef0b567574ff410153f8dc69e"/>
    <w:p>
      <w:pPr>
        <w:pStyle w:val="Heading2"/>
      </w:pPr>
      <w:r>
        <w:t xml:space="preserve">Line Items — The Economist Magazine Subscriptions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Amount (KES)</w:t>
            </w:r>
          </w:p>
        </w:tc>
      </w:tr>
      <w:tr>
        <w:tc>
          <w:tcPr/>
          <w:p>
            <w:pPr>
              <w:pStyle w:val="Compact"/>
              <w:jc w:val="left"/>
            </w:pPr>
            <w:r>
              <w:t xml:space="preserve">01</w:t>
            </w:r>
          </w:p>
        </w:tc>
        <w:tc>
          <w:tcPr/>
          <w:p>
            <w:pPr>
              <w:pStyle w:val="Compact"/>
              <w:jc w:val="left"/>
            </w:pPr>
            <w:r>
              <w:rPr>
                <w:bCs/>
                <w:b/>
              </w:rPr>
              <w:t xml:space="preserve">The Economist</w:t>
            </w:r>
            <w:r>
              <w:t xml:space="preserve"> </w:t>
            </w:r>
            <w:r>
              <w:t xml:space="preserve">— Annual Digital Subscription (Institutional License), 52 issues per year, full access to economist.com, The Economist app, and The Economist Podcasts+ for up to 25 named users within the Kenya Nairobi office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rPr>
                <w:bCs/>
                <w:b/>
              </w:rPr>
              <w:t xml:space="preserve">The Economist</w:t>
            </w:r>
            <w:r>
              <w:t xml:space="preserve"> </w:t>
            </w:r>
            <w:r>
              <w:t xml:space="preserve">— Annual Print Subscription (Physical Copies), 52 weekly issues delivered to the Kenya Nairobi headquarters library and executive boardroom, including international airmail shipping and Kenyan customs clearance</w:t>
            </w:r>
          </w:p>
        </w:tc>
        <w:tc>
          <w:tcPr/>
          <w:p>
            <w:pPr>
              <w:pStyle w:val="Compact"/>
              <w:jc w:val="left"/>
            </w:pPr>
            <w:r>
              <w:t xml:space="preserve">3</w:t>
            </w:r>
          </w:p>
        </w:tc>
        <w:tc>
          <w:tcPr/>
          <w:p>
            <w:pPr>
              <w:pStyle w:val="Compact"/>
              <w:jc w:val="left"/>
            </w:pPr>
            <w:r>
              <w:t xml:space="preserve">Subscriptions</w:t>
            </w:r>
          </w:p>
        </w:tc>
        <w:tc>
          <w:tcPr/>
          <w:p>
            <w:pPr>
              <w:pStyle w:val="Compact"/>
              <w:jc w:val="left"/>
            </w:pPr>
            <w:r>
              <w:t xml:space="preserve">92,500.00</w:t>
            </w:r>
          </w:p>
        </w:tc>
        <w:tc>
          <w:tcPr/>
          <w:p>
            <w:pPr>
              <w:pStyle w:val="Compact"/>
              <w:jc w:val="left"/>
            </w:pPr>
            <w:r>
              <w:t xml:space="preserve">277,500.00</w:t>
            </w:r>
          </w:p>
        </w:tc>
      </w:tr>
      <w:tr>
        <w:tc>
          <w:tcPr/>
          <w:p>
            <w:pPr>
              <w:pStyle w:val="Compact"/>
              <w:jc w:val="left"/>
            </w:pPr>
            <w:r>
              <w:t xml:space="preserve">03</w:t>
            </w:r>
          </w:p>
        </w:tc>
        <w:tc>
          <w:tcPr/>
          <w:p>
            <w:pPr>
              <w:pStyle w:val="Compact"/>
              <w:jc w:val="left"/>
            </w:pPr>
            <w:r>
              <w:rPr>
                <w:bCs/>
                <w:b/>
              </w:rPr>
              <w:t xml:space="preserve">The Economist</w:t>
            </w:r>
            <w:r>
              <w:t xml:space="preserve"> </w:t>
            </w:r>
            <w:r>
              <w:t xml:space="preserve">— Quarterly Archive Access Package (2015–2025), full-text searchable digital archive of all issues published over the past ten years, licensed for internal research use by the Kenya Nairobi analytics team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04</w:t>
            </w:r>
          </w:p>
        </w:tc>
        <w:tc>
          <w:tcPr/>
          <w:p>
            <w:pPr>
              <w:pStyle w:val="Compact"/>
              <w:jc w:val="left"/>
            </w:pPr>
            <w:r>
              <w:rPr>
                <w:bCs/>
                <w:b/>
              </w:rPr>
              <w:t xml:space="preserve">The Economist</w:t>
            </w:r>
            <w:r>
              <w:t xml:space="preserve"> </w:t>
            </w:r>
            <w:r>
              <w:t xml:space="preserve">— Annual Subscription to</w:t>
            </w:r>
            <w:r>
              <w:t xml:space="preserve"> </w:t>
            </w:r>
            <w:r>
              <w:rPr>
                <w:iCs/>
                <w:i/>
              </w:rPr>
              <w:t xml:space="preserve">The Economist Intelligence Unit (EIU)</w:t>
            </w:r>
            <w:r>
              <w:t xml:space="preserve"> </w:t>
            </w:r>
            <w:r>
              <w:t xml:space="preserve">Country Risk Reports — Kenya, East Africa, and Global Economic Outlook, delivered digitally and in print to the Kenya Nairobi strategy department</w:t>
            </w:r>
          </w:p>
        </w:tc>
        <w:tc>
          <w:tcPr/>
          <w:p>
            <w:pPr>
              <w:pStyle w:val="Compact"/>
              <w:jc w:val="left"/>
            </w:pPr>
            <w:r>
              <w:t xml:space="preserve">1</w:t>
            </w:r>
          </w:p>
        </w:tc>
        <w:tc>
          <w:tcPr/>
          <w:p>
            <w:pPr>
              <w:pStyle w:val="Compact"/>
              <w:jc w:val="left"/>
            </w:pPr>
            <w:r>
              <w:t xml:space="preserve">Subscription</w:t>
            </w:r>
          </w:p>
        </w:tc>
        <w:tc>
          <w:tcPr/>
          <w:p>
            <w:pPr>
              <w:pStyle w:val="Compact"/>
              <w:jc w:val="left"/>
            </w:pPr>
            <w:r>
              <w:t xml:space="preserve">425,000.00</w:t>
            </w:r>
          </w:p>
        </w:tc>
        <w:tc>
          <w:tcPr/>
          <w:p>
            <w:pPr>
              <w:pStyle w:val="Compact"/>
              <w:jc w:val="left"/>
            </w:pPr>
            <w:r>
              <w:t xml:space="preserve">425,000.00</w:t>
            </w:r>
          </w:p>
        </w:tc>
      </w:tr>
      <w:tr>
        <w:tc>
          <w:tcPr/>
          <w:p>
            <w:pPr>
              <w:pStyle w:val="Compact"/>
              <w:jc w:val="left"/>
            </w:pPr>
            <w:r>
              <w:t xml:space="preserve">05</w:t>
            </w:r>
          </w:p>
        </w:tc>
        <w:tc>
          <w:tcPr/>
          <w:p>
            <w:pPr>
              <w:pStyle w:val="Compact"/>
              <w:jc w:val="left"/>
            </w:pPr>
            <w:r>
              <w:rPr>
                <w:bCs/>
                <w:b/>
              </w:rPr>
              <w:t xml:space="preserve">The Economist</w:t>
            </w:r>
            <w:r>
              <w:t xml:space="preserve"> </w:t>
            </w:r>
            <w:r>
              <w:t xml:space="preserve">— One-time Onboarding and Training Session for 15 staff members at the Kenya Nairobi office, covering digital platform navigation, archive search tools, and EIU report interpretation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75,000.00</w:t>
            </w:r>
          </w:p>
        </w:tc>
        <w:tc>
          <w:tcPr/>
          <w:p>
            <w:pPr>
              <w:pStyle w:val="Compact"/>
              <w:jc w:val="left"/>
            </w:pPr>
            <w:r>
              <w:t xml:space="preserve">75,000.00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 (KES)</w:t>
            </w:r>
          </w:p>
        </w:tc>
        <w:tc>
          <w:tcPr/>
          <w:p>
            <w:pPr>
              <w:pStyle w:val="Compact"/>
              <w:jc w:val="right"/>
            </w:pPr>
            <w:r>
              <w:t xml:space="preserve">1,302,500.00</w:t>
            </w:r>
          </w:p>
        </w:tc>
      </w:tr>
      <w:tr>
        <w:tc>
          <w:tcPr/>
          <w:p>
            <w:pPr>
              <w:pStyle w:val="Compact"/>
              <w:jc w:val="left"/>
            </w:pPr>
            <w:r>
              <w:t xml:space="preserve">VAT (16% — Kenya Revenue Authority)</w:t>
            </w:r>
          </w:p>
        </w:tc>
        <w:tc>
          <w:tcPr/>
          <w:p>
            <w:pPr>
              <w:pStyle w:val="Compact"/>
              <w:jc w:val="right"/>
            </w:pPr>
            <w:r>
              <w:t xml:space="preserve">208,400.00</w:t>
            </w:r>
          </w:p>
        </w:tc>
      </w:tr>
      <w:tr>
        <w:tc>
          <w:tcPr/>
          <w:p>
            <w:pPr>
              <w:pStyle w:val="Compact"/>
              <w:jc w:val="left"/>
            </w:pPr>
            <w:r>
              <w:t xml:space="preserve">Import Duty &amp; Customs Clearance (Kenya Nairobi)</w:t>
            </w:r>
          </w:p>
        </w:tc>
        <w:tc>
          <w:tcPr/>
          <w:p>
            <w:pPr>
              <w:pStyle w:val="Compact"/>
              <w:jc w:val="right"/>
            </w:pPr>
            <w:r>
              <w:t xml:space="preserve">18,500.00</w:t>
            </w:r>
          </w:p>
        </w:tc>
      </w:tr>
      <w:tr>
        <w:tc>
          <w:tcPr/>
          <w:p>
            <w:pPr>
              <w:pStyle w:val="Compact"/>
              <w:jc w:val="left"/>
            </w:pPr>
            <w:r>
              <w:t xml:space="preserve">Local Delivery &amp; Handling (Kenya Nairobi)</w:t>
            </w:r>
          </w:p>
        </w:tc>
        <w:tc>
          <w:tcPr/>
          <w:p>
            <w:pPr>
              <w:pStyle w:val="Compact"/>
              <w:jc w:val="right"/>
            </w:pPr>
            <w:r>
              <w:t xml:space="preserve">12,000.00</w:t>
            </w:r>
          </w:p>
        </w:tc>
      </w:tr>
      <w:tr>
        <w:tc>
          <w:tcPr/>
          <w:p>
            <w:pPr>
              <w:pStyle w:val="Compact"/>
              <w:jc w:val="left"/>
            </w:pPr>
            <w:r>
              <w:t xml:space="preserve">Grand Total (KES)</w:t>
            </w:r>
          </w:p>
        </w:tc>
        <w:tc>
          <w:tcPr/>
          <w:p>
            <w:pPr>
              <w:pStyle w:val="Compact"/>
              <w:jc w:val="right"/>
            </w:pPr>
            <w:r>
              <w:t xml:space="preserve">1,541,400.00</w:t>
            </w:r>
          </w:p>
        </w:tc>
      </w:tr>
    </w:tbl>
    <w:p>
      <w:pPr>
        <w:pStyle w:val="BodyText"/>
      </w:pPr>
      <w:r>
        <w:rPr>
          <w:bCs/>
          <w:b/>
        </w:rPr>
        <w:t xml:space="preserve">Note:</w:t>
      </w:r>
      <w:r>
        <w:t xml:space="preserve"> </w:t>
      </w:r>
      <w:r>
        <w:t xml:space="preserve">All pricing is quoted in Kenyan Shillings (KES) and is fixed for the duration of this Purchase Order. The supplier, The Economist Group, Ltd., confirms that all print materials will be cleared through Kenya Nairobi customs under the applicable periodical import exemption. Digital access credentials will be provisioned within five (5) business days of confirmed payment. This Purchase Order is governed by the laws of the Republic of Kenya and the applicable provisions of the United Nations Convention on Contracts for the International Sale of Goods (CISG).</w:t>
      </w:r>
    </w:p>
    <w:bookmarkStart w:id="25" w:name="Xde1b1aa910af0d218dd23eb59edb0f3a99f22fc"/>
    <w:p>
      <w:pPr>
        <w:pStyle w:val="Heading3"/>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constitutes a firm offer to purchase the goods and services of</w:t>
      </w:r>
      <w:r>
        <w:t xml:space="preserve"> </w:t>
      </w:r>
      <w:r>
        <w:rPr>
          <w:bCs/>
          <w:b/>
        </w:rPr>
        <w:t xml:space="preserve">The Economist</w:t>
      </w:r>
      <w:r>
        <w:t xml:space="preserve"> </w:t>
      </w:r>
      <w:r>
        <w:t xml:space="preserve">as described herein. The supplier's written acceptance of this Purchase Order within ten (10) business days shall form a binding contract between the parties.</w:t>
      </w:r>
    </w:p>
    <w:p>
      <w:pPr>
        <w:numPr>
          <w:ilvl w:val="0"/>
          <w:numId w:val="1001"/>
        </w:numPr>
        <w:pStyle w:val="Compact"/>
      </w:pPr>
      <w:r>
        <w:rPr>
          <w:bCs/>
          <w:b/>
        </w:rPr>
        <w:t xml:space="preserve">Delivery:</w:t>
      </w:r>
      <w:r>
        <w:t xml:space="preserve"> </w:t>
      </w:r>
      <w:r>
        <w:t xml:space="preserve">All print copies of</w:t>
      </w:r>
      <w:r>
        <w:t xml:space="preserve"> </w:t>
      </w:r>
      <w:r>
        <w:rPr>
          <w:bCs/>
          <w:b/>
        </w:rPr>
        <w:t xml:space="preserve">The Economist</w:t>
      </w:r>
      <w:r>
        <w:t xml:space="preserve"> </w:t>
      </w:r>
      <w:r>
        <w:t xml:space="preserve">magazine shall be delivered to the designated receiving office at Safaricom House, Waiyaki Way,</w:t>
      </w:r>
      <w:r>
        <w:t xml:space="preserve"> </w:t>
      </w:r>
      <w:r>
        <w:rPr>
          <w:bCs/>
          <w:b/>
        </w:rPr>
        <w:t xml:space="preserve">Kenya Nairobi</w:t>
      </w:r>
      <w:r>
        <w:t xml:space="preserve">, no later than the Required Delivery Date stated above. Digital access credentials and archive licenses shall be activated and made available to authorized users in</w:t>
      </w:r>
      <w:r>
        <w:t xml:space="preserve"> </w:t>
      </w:r>
      <w:r>
        <w:rPr>
          <w:bCs/>
          <w:b/>
        </w:rPr>
        <w:t xml:space="preserve">Kenya Nairobi</w:t>
      </w:r>
      <w:r>
        <w:t xml:space="preserve"> </w:t>
      </w:r>
      <w:r>
        <w:t xml:space="preserve">within five (5) business days of receipt of payment.</w:t>
      </w:r>
    </w:p>
    <w:p>
      <w:pPr>
        <w:numPr>
          <w:ilvl w:val="0"/>
          <w:numId w:val="1001"/>
        </w:numPr>
        <w:pStyle w:val="Compact"/>
      </w:pPr>
      <w:r>
        <w:rPr>
          <w:bCs/>
          <w:b/>
        </w:rPr>
        <w:t xml:space="preserve">Payment:</w:t>
      </w:r>
      <w:r>
        <w:t xml:space="preserve"> </w:t>
      </w:r>
      <w:r>
        <w:t xml:space="preserve">Payment shall be made via bank transfer to the supplier's designated account within thirty (30) calendar days of the invoice date. The buyer shall remit payment in Kenyan Shillings (KES) to the supplier's local banking partner in</w:t>
      </w:r>
      <w:r>
        <w:t xml:space="preserve"> </w:t>
      </w:r>
      <w:r>
        <w:rPr>
          <w:bCs/>
          <w:b/>
        </w:rPr>
        <w:t xml:space="preserve">Kenya Nairobi</w:t>
      </w:r>
      <w:r>
        <w:t xml:space="preserve"> </w:t>
      </w:r>
      <w:r>
        <w:t xml:space="preserve">or in British Pounds Sterling (GBP) to the supplier's London account, at the exchange rate prevailing on the date of remittance.</w:t>
      </w:r>
    </w:p>
    <w:p>
      <w:pPr>
        <w:numPr>
          <w:ilvl w:val="0"/>
          <w:numId w:val="1001"/>
        </w:numPr>
        <w:pStyle w:val="Compact"/>
      </w:pPr>
      <w:r>
        <w:rPr>
          <w:bCs/>
          <w:b/>
        </w:rPr>
        <w:t xml:space="preserve">Taxation and Duties:</w:t>
      </w:r>
      <w:r>
        <w:t xml:space="preserve"> </w:t>
      </w:r>
      <w:r>
        <w:t xml:space="preserve">The buyer is responsible for all applicable Kenyan taxes, including Value Added Tax (VAT) at the rate of 16% as determined by the Kenya Revenue Authority (KRA), and any import duties levied on physical periodicals entering</w:t>
      </w:r>
      <w:r>
        <w:t xml:space="preserve"> </w:t>
      </w:r>
      <w:r>
        <w:rPr>
          <w:bCs/>
          <w:b/>
        </w:rPr>
        <w:t xml:space="preserve">Kenya Nairobi</w:t>
      </w:r>
      <w:r>
        <w:t xml:space="preserve">. The supplier shall provide all necessary documentation, including commercial invoices, certificates of origin, and customs declarations, to facilitate smooth clearance at the</w:t>
      </w:r>
      <w:r>
        <w:t xml:space="preserve"> </w:t>
      </w:r>
      <w:r>
        <w:rPr>
          <w:bCs/>
          <w:b/>
        </w:rPr>
        <w:t xml:space="preserve">Kenya Nairobi</w:t>
      </w:r>
      <w:r>
        <w:t xml:space="preserve"> </w:t>
      </w:r>
      <w:r>
        <w:t xml:space="preserve">port of entry.</w:t>
      </w:r>
    </w:p>
    <w:p>
      <w:pPr>
        <w:numPr>
          <w:ilvl w:val="0"/>
          <w:numId w:val="1001"/>
        </w:numPr>
        <w:pStyle w:val="Compact"/>
      </w:pPr>
      <w:r>
        <w:rPr>
          <w:bCs/>
          <w:b/>
        </w:rPr>
        <w:t xml:space="preserve">Quality and Compliance:</w:t>
      </w:r>
      <w:r>
        <w:t xml:space="preserve"> </w:t>
      </w:r>
      <w:r>
        <w:t xml:space="preserve">All issues of</w:t>
      </w:r>
      <w:r>
        <w:t xml:space="preserve"> </w:t>
      </w:r>
      <w:r>
        <w:rPr>
          <w:bCs/>
          <w:b/>
        </w:rPr>
        <w:t xml:space="preserve">The Economist</w:t>
      </w:r>
      <w:r>
        <w:t xml:space="preserve"> </w:t>
      </w:r>
      <w:r>
        <w:t xml:space="preserve">delivered under this Purchase Order shall be in their original, unaltered, and undamaged condition. The digital platform shall maintain a minimum uptime of 99.5% as measured from the</w:t>
      </w:r>
      <w:r>
        <w:t xml:space="preserve"> </w:t>
      </w:r>
      <w:r>
        <w:rPr>
          <w:bCs/>
          <w:b/>
        </w:rPr>
        <w:t xml:space="preserve">Kenya Nairobi</w:t>
      </w:r>
      <w:r>
        <w:t xml:space="preserve"> </w:t>
      </w:r>
      <w:r>
        <w:t xml:space="preserve">network. Any defective or missing issues shall be replaced within seven (7) business days at no additional cost to the buyer.</w:t>
      </w:r>
    </w:p>
    <w:p>
      <w:pPr>
        <w:numPr>
          <w:ilvl w:val="0"/>
          <w:numId w:val="1001"/>
        </w:numPr>
        <w:pStyle w:val="Compact"/>
      </w:pPr>
      <w:r>
        <w:rPr>
          <w:bCs/>
          <w:b/>
        </w:rPr>
        <w:t xml:space="preserve">Intellectual Property:</w:t>
      </w:r>
      <w:r>
        <w:t xml:space="preserve"> </w:t>
      </w:r>
      <w:r>
        <w:t xml:space="preserve">The licenses granted under this Purchase Order are strictly for internal, non-commercial use by the named employees of the buyer located in</w:t>
      </w:r>
      <w:r>
        <w:t xml:space="preserve"> </w:t>
      </w:r>
      <w:r>
        <w:rPr>
          <w:bCs/>
          <w:b/>
        </w:rPr>
        <w:t xml:space="preserve">Kenya Nairobi</w:t>
      </w:r>
      <w:r>
        <w:t xml:space="preserve">. Redistribution, republication, or sublicensing of</w:t>
      </w:r>
      <w:r>
        <w:t xml:space="preserve"> </w:t>
      </w:r>
      <w:r>
        <w:rPr>
          <w:bCs/>
          <w:b/>
        </w:rPr>
        <w:t xml:space="preserve">The Economist</w:t>
      </w:r>
      <w:r>
        <w:t xml:space="preserve"> </w:t>
      </w:r>
      <w:r>
        <w:t xml:space="preserve">content is expressly prohibited without prior written consent from The Economist Group, Ltd.</w:t>
      </w:r>
    </w:p>
    <w:p>
      <w:pPr>
        <w:numPr>
          <w:ilvl w:val="0"/>
          <w:numId w:val="1001"/>
        </w:numPr>
        <w:pStyle w:val="Compact"/>
      </w:pPr>
      <w:r>
        <w:rPr>
          <w:bCs/>
          <w:b/>
        </w:rPr>
        <w:t xml:space="preserve">Termination:</w:t>
      </w:r>
      <w:r>
        <w:t xml:space="preserve"> </w:t>
      </w:r>
      <w:r>
        <w:t xml:space="preserve">Either party may terminate this Purchase Order or the resulting contract with thirty (30) days' written notice. In the event of termination, the buyer shall be entitled to a pro-rata refund for any unused portion of the</w:t>
      </w:r>
      <w:r>
        <w:t xml:space="preserve"> </w:t>
      </w:r>
      <w:r>
        <w:rPr>
          <w:bCs/>
          <w:b/>
        </w:rPr>
        <w:t xml:space="preserve">The Economist</w:t>
      </w:r>
      <w:r>
        <w:t xml:space="preserve"> </w:t>
      </w:r>
      <w:r>
        <w:t xml:space="preserve">subscription period.</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negotiation between the parties. If unresolved within thirty (30) days, the dispute shall be referred to arbitration in</w:t>
      </w:r>
      <w:r>
        <w:t xml:space="preserve"> </w:t>
      </w:r>
      <w:r>
        <w:rPr>
          <w:bCs/>
          <w:b/>
        </w:rPr>
        <w:t xml:space="preserve">Kenya Nairobi</w:t>
      </w:r>
      <w:r>
        <w:t xml:space="preserve"> </w:t>
      </w:r>
      <w:r>
        <w:t xml:space="preserve">under the rules of the Nairobi Centre for International Arbitration (NCIA).</w:t>
      </w:r>
    </w:p>
    <w:p>
      <w:pPr>
        <w:numPr>
          <w:ilvl w:val="0"/>
          <w:numId w:val="1001"/>
        </w:numPr>
        <w:pStyle w:val="Compact"/>
      </w:pPr>
      <w:r>
        <w:rPr>
          <w:bCs/>
          <w:b/>
        </w:rPr>
        <w:t xml:space="preserve">Governing Law:</w:t>
      </w:r>
      <w:r>
        <w:t xml:space="preserve"> </w:t>
      </w:r>
      <w:r>
        <w:t xml:space="preserve">This Purchase Order and any contract formed hereunder shall be governed by and construed in accordance with the laws of the Republic of Kenya, including the Contracts Act (Cap 23) and the Consumer Protection Act, 2012.</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 sanctions, or disruptions to international mail and digital infrastructure affecting</w:t>
      </w:r>
      <w:r>
        <w:t xml:space="preserve"> </w:t>
      </w:r>
      <w:r>
        <w:rPr>
          <w:bCs/>
          <w:b/>
        </w:rPr>
        <w:t xml:space="preserve">Kenya Nairobi</w:t>
      </w:r>
      <w:r>
        <w:t xml:space="preserve">.</w:t>
      </w:r>
    </w:p>
    <w:bookmarkEnd w:id="25"/>
    <w:p>
      <w:pPr>
        <w:pStyle w:val="FirstParagraph"/>
      </w:pPr>
      <w:r>
        <w:rPr>
          <w:bCs/>
          <w:b/>
        </w:rPr>
        <w:t xml:space="preserve">For and on behalf of the Buyer:</w:t>
      </w:r>
    </w:p>
    <w:p>
      <w:pPr>
        <w:pStyle w:val="BodyText"/>
      </w:pPr>
      <w:r>
        <w:t xml:space="preserve">Safaricom Business Solutions Ltd., Kenya Nairobi</w:t>
      </w:r>
    </w:p>
    <w:p>
      <w:pPr>
        <w:pStyle w:val="BodyText"/>
      </w:pPr>
      <w:r>
        <w:t xml:space="preserve">Dr. Grace Wanjiru</w:t>
      </w:r>
    </w:p>
    <w:p>
      <w:pPr>
        <w:pStyle w:val="BodyText"/>
      </w:pPr>
      <w:r>
        <w:t xml:space="preserve">Chief Financial Officer</w:t>
      </w:r>
    </w:p>
    <w:p>
      <w:pPr>
        <w:pStyle w:val="BodyText"/>
      </w:pPr>
      <w:r>
        <w:t xml:space="preserve">Date: _______________</w:t>
      </w:r>
    </w:p>
    <w:p>
      <w:pPr>
        <w:pStyle w:val="BodyText"/>
      </w:pPr>
      <w:r>
        <w:rPr>
          <w:bCs/>
          <w:b/>
        </w:rPr>
        <w:t xml:space="preserve">For and on behalf of the Supplier:</w:t>
      </w:r>
    </w:p>
    <w:p>
      <w:pPr>
        <w:pStyle w:val="BodyText"/>
      </w:pPr>
      <w:r>
        <w:t xml:space="preserve">The Economist Group, Ltd.</w:t>
      </w:r>
    </w:p>
    <w:p>
      <w:pPr>
        <w:pStyle w:val="BodyText"/>
      </w:pPr>
      <w:r>
        <w:t xml:space="preserve">Mr. David Mwangi</w:t>
      </w:r>
    </w:p>
    <w:p>
      <w:pPr>
        <w:pStyle w:val="BodyText"/>
      </w:pPr>
      <w:r>
        <w:t xml:space="preserve">Regional Sales Manager, East Africa</w:t>
      </w:r>
    </w:p>
    <w:p>
      <w:pPr>
        <w:pStyle w:val="BodyText"/>
      </w:pPr>
      <w:r>
        <w:t xml:space="preserve">Date: _______________</w:t>
      </w:r>
    </w:p>
    <w:p>
      <w:pPr>
        <w:pStyle w:val="BodyText"/>
      </w:pPr>
      <w:r>
        <w:rPr>
          <w:bCs/>
          <w:b/>
        </w:rPr>
        <w:t xml:space="preserve">Witness / Procurement Officer:</w:t>
      </w:r>
    </w:p>
    <w:p>
      <w:pPr>
        <w:pStyle w:val="BodyText"/>
      </w:pPr>
      <w:r>
        <w:t xml:space="preserve">Corporate Procurement Department</w:t>
      </w:r>
    </w:p>
    <w:p>
      <w:pPr>
        <w:pStyle w:val="BodyText"/>
      </w:pPr>
      <w:r>
        <w:t xml:space="preserve">Ms. Amina Otieno</w:t>
      </w:r>
    </w:p>
    <w:p>
      <w:pPr>
        <w:pStyle w:val="BodyText"/>
      </w:pPr>
      <w:r>
        <w:t xml:space="preserve">Procurement Officer</w:t>
      </w:r>
    </w:p>
    <w:p>
      <w:pPr>
        <w:pStyle w:val="BodyText"/>
      </w:pPr>
      <w:r>
        <w:t xml:space="preserve">Date: _______________</w:t>
      </w:r>
    </w:p>
    <w:p>
      <w:pPr>
        <w:pStyle w:val="BodyText"/>
      </w:pPr>
      <w:r>
        <w:t xml:space="preserve">This Purchase Order (KEN-NBO-2025-04782) was issued by Safaricom Business Solutions Ltd., Kenya Nairobi, for the procurement of</w:t>
      </w:r>
      <w:r>
        <w:t xml:space="preserve"> </w:t>
      </w:r>
      <w:r>
        <w:rPr>
          <w:bCs/>
          <w:b/>
        </w:rPr>
        <w:t xml:space="preserve">The Economist</w:t>
      </w:r>
      <w:r>
        <w:t xml:space="preserve"> </w:t>
      </w:r>
      <w:r>
        <w:t xml:space="preserve">publications and related services. This document is valid for acceptance within ten (10) business days of the issue date. Unauthorized reproduction or distribution of this Purchase Order is prohibited. © 2025 Safaricom Business Solutions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Magazine - Kenya Nairobi</dc:title>
  <dc:creator/>
  <dc:language>en</dc:language>
  <cp:keywords/>
  <dcterms:created xsi:type="dcterms:W3CDTF">2026-10-10T03:15:49Z</dcterms:created>
  <dcterms:modified xsi:type="dcterms:W3CDTF">2026-10-10T03:15:49Z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