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Business Solutions LLC — Kuwait, Kuwait City</w:t>
      </w:r>
    </w:p>
    <w:p>
      <w:pPr>
        <w:pStyle w:val="BodyText"/>
      </w:pPr>
      <w:r>
        <w:t xml:space="preserve">PO No. KWT-2025-04871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KWT-2025-04871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July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US Dollars (USD)</w:t>
            </w:r>
          </w:p>
        </w:tc>
        <w:tc>
          <w:tcPr/>
          <w:p>
            <w:pPr>
              <w:pStyle w:val="Compact"/>
              <w:jc w:val="left"/>
            </w:pPr>
            <w:r>
              <w:rPr>
                <w:bCs/>
                <w:b/>
              </w:rPr>
              <w:t xml:space="preserve">Incoterms:</w:t>
            </w:r>
          </w:p>
        </w:tc>
        <w:tc>
          <w:tcPr/>
          <w:p>
            <w:pPr>
              <w:pStyle w:val="Compact"/>
              <w:jc w:val="left"/>
            </w:pPr>
            <w:r>
              <w:t xml:space="preserve">DDP (Delivered Duty Paid) — Kuwait City</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Al-Nakheel Business Solutions LLC</w:t>
      </w:r>
    </w:p>
    <w:p>
      <w:pPr>
        <w:pStyle w:val="BodyText"/>
      </w:pPr>
      <w:r>
        <w:rPr>
          <w:bCs/>
          <w:b/>
        </w:rPr>
        <w:t xml:space="preserve">Address:</w:t>
      </w:r>
      <w:r>
        <w:t xml:space="preserve"> </w:t>
      </w:r>
      <w:r>
        <w:t xml:space="preserve">42 Shaikh Jaber Al-Ahmad Al-Sabah Avenue, Block 2, Safat, Kuwait, Kuwait City</w:t>
      </w:r>
    </w:p>
    <w:p>
      <w:pPr>
        <w:pStyle w:val="BodyText"/>
      </w:pPr>
      <w:r>
        <w:rPr>
          <w:bCs/>
          <w:b/>
        </w:rPr>
        <w:t xml:space="preserve">Country:</w:t>
      </w:r>
      <w:r>
        <w:t xml:space="preserve"> </w:t>
      </w:r>
      <w:r>
        <w:t xml:space="preserve">State of Kuwait</w:t>
      </w:r>
    </w:p>
    <w:p>
      <w:pPr>
        <w:pStyle w:val="BodyText"/>
      </w:pPr>
      <w:r>
        <w:rPr>
          <w:bCs/>
          <w:b/>
        </w:rPr>
        <w:t xml:space="preserve">Contact Person:</w:t>
      </w:r>
      <w:r>
        <w:t xml:space="preserve"> </w:t>
      </w:r>
      <w:r>
        <w:t xml:space="preserve">Mr. Fahad Al-Sabah, Procurement Director</w:t>
      </w:r>
    </w:p>
    <w:p>
      <w:pPr>
        <w:pStyle w:val="BodyText"/>
      </w:pPr>
      <w:r>
        <w:rPr>
          <w:bCs/>
          <w:b/>
        </w:rPr>
        <w:t xml:space="preserve">Email:</w:t>
      </w:r>
      <w:r>
        <w:t xml:space="preserve"> </w:t>
      </w:r>
      <w:r>
        <w:t xml:space="preserve">procurement@alnakheel-kwt.com</w:t>
      </w:r>
    </w:p>
    <w:p>
      <w:pPr>
        <w:pStyle w:val="BodyText"/>
      </w:pPr>
      <w:r>
        <w:rPr>
          <w:bCs/>
          <w:b/>
        </w:rPr>
        <w:t xml:space="preserve">Phone:</w:t>
      </w:r>
      <w:r>
        <w:t xml:space="preserve"> </w:t>
      </w:r>
      <w:r>
        <w:t xml:space="preserve">+965 2244 8890</w:t>
      </w:r>
    </w:p>
    <w:p>
      <w:pPr>
        <w:pStyle w:val="BodyText"/>
      </w:pPr>
      <w:r>
        <w:rPr>
          <w:bCs/>
          <w:b/>
        </w:rPr>
        <w:t xml:space="preserve">Tax Registration No.:</w:t>
      </w:r>
      <w:r>
        <w:t xml:space="preserve"> </w:t>
      </w:r>
      <w:r>
        <w:t xml:space="preserve">KWT-TAX-2019-00342</w:t>
      </w:r>
    </w:p>
    <w:bookmarkEnd w:id="22"/>
    <w:bookmarkStart w:id="23" w:name="seller-supplier"/>
    <w:p>
      <w:pPr>
        <w:pStyle w:val="Heading3"/>
      </w:pPr>
      <w:r>
        <w:t xml:space="preserve">Seller (Supplier)</w:t>
      </w:r>
    </w:p>
    <w:p>
      <w:pPr>
        <w:pStyle w:val="FirstParagraph"/>
      </w:pPr>
      <w:r>
        <w:rPr>
          <w:bCs/>
          <w:b/>
        </w:rPr>
        <w:t xml:space="preserve">Company:</w:t>
      </w:r>
      <w:r>
        <w:t xml:space="preserve"> </w:t>
      </w:r>
      <w:r>
        <w:t xml:space="preserve">The Economist Group Limited (Economist Media)</w:t>
      </w:r>
    </w:p>
    <w:p>
      <w:pPr>
        <w:pStyle w:val="BodyText"/>
      </w:pPr>
      <w:r>
        <w:rPr>
          <w:bCs/>
          <w:b/>
        </w:rPr>
        <w:t xml:space="preserve">Address:</w:t>
      </w:r>
      <w:r>
        <w:t xml:space="preserve"> </w:t>
      </w:r>
      <w:r>
        <w:t xml:space="preserve">25 St James's Street, London, SW1Y 4JH, United Kingdom</w:t>
      </w:r>
    </w:p>
    <w:p>
      <w:pPr>
        <w:pStyle w:val="BodyText"/>
      </w:pPr>
      <w:r>
        <w:rPr>
          <w:bCs/>
          <w:b/>
        </w:rPr>
        <w:t xml:space="preserve">Contact Person:</w:t>
      </w:r>
      <w:r>
        <w:t xml:space="preserve"> </w:t>
      </w:r>
      <w:r>
        <w:t xml:space="preserve">Ms. Eleanor Whitfield, Corporate Accounts Manager</w:t>
      </w:r>
    </w:p>
    <w:p>
      <w:pPr>
        <w:pStyle w:val="BodyText"/>
      </w:pPr>
      <w:r>
        <w:rPr>
          <w:bCs/>
          <w:b/>
        </w:rPr>
        <w:t xml:space="preserve">Email:</w:t>
      </w:r>
      <w:r>
        <w:t xml:space="preserve"> </w:t>
      </w:r>
      <w:r>
        <w:t xml:space="preserve">corporate.accounts@economist.com</w:t>
      </w:r>
    </w:p>
    <w:p>
      <w:pPr>
        <w:pStyle w:val="BodyText"/>
      </w:pPr>
      <w:r>
        <w:rPr>
          <w:bCs/>
          <w:b/>
        </w:rPr>
        <w:t xml:space="preserve">Phone:</w:t>
      </w:r>
      <w:r>
        <w:t xml:space="preserve"> </w:t>
      </w:r>
      <w:r>
        <w:t xml:space="preserve">+44 20 7577 8000</w:t>
      </w:r>
    </w:p>
    <w:p>
      <w:pPr>
        <w:pStyle w:val="BodyText"/>
      </w:pPr>
      <w:r>
        <w:rPr>
          <w:bCs/>
          <w:b/>
        </w:rPr>
        <w:t xml:space="preserve">VAT Registration No.:</w:t>
      </w:r>
      <w:r>
        <w:t xml:space="preserve"> </w:t>
      </w:r>
      <w:r>
        <w:t xml:space="preserve">GB 987 6543 21</w:t>
      </w:r>
    </w:p>
    <w:bookmarkEnd w:id="23"/>
    <w:bookmarkEnd w:id="24"/>
    <w:bookmarkStart w:id="25" w:name="Xe8518915abed7521e7c409748fb9dc27fd16aa6"/>
    <w:p>
      <w:pPr>
        <w:pStyle w:val="Heading2"/>
      </w:pPr>
      <w:r>
        <w:t xml:space="preserve">3. Itemized Order — The Economist Publications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rPr>
                <w:bCs/>
                <w:b/>
              </w:rPr>
              <w:t xml:space="preserve">The Economist</w:t>
            </w:r>
            <w:r>
              <w:t xml:space="preserve"> </w:t>
            </w:r>
            <w:r>
              <w:t xml:space="preserve">— Annual Digital Subscription (Institutional License), 52 issues per year, full access to economist.com, The Economist Podcasts+, and The Economist Intelligence Unit (EIU) briefings. License valid for 12 months from activation date.</w:t>
            </w:r>
          </w:p>
        </w:tc>
        <w:tc>
          <w:tcPr/>
          <w:p>
            <w:pPr>
              <w:pStyle w:val="Compact"/>
              <w:jc w:val="left"/>
            </w:pPr>
            <w:r>
              <w:t xml:space="preserve">250</w:t>
            </w:r>
          </w:p>
        </w:tc>
        <w:tc>
          <w:tcPr/>
          <w:p>
            <w:pPr>
              <w:pStyle w:val="Compact"/>
              <w:jc w:val="left"/>
            </w:pPr>
            <w:r>
              <w:t xml:space="preserve">149.00</w:t>
            </w:r>
          </w:p>
        </w:tc>
        <w:tc>
          <w:tcPr/>
          <w:p>
            <w:pPr>
              <w:pStyle w:val="Compact"/>
              <w:jc w:val="left"/>
            </w:pPr>
            <w:r>
              <w:t xml:space="preserve">37,250.00</w:t>
            </w:r>
          </w:p>
        </w:tc>
      </w:tr>
      <w:tr>
        <w:tc>
          <w:tcPr/>
          <w:p>
            <w:pPr>
              <w:pStyle w:val="Compact"/>
              <w:jc w:val="left"/>
            </w:pPr>
            <w:r>
              <w:t xml:space="preserve">02</w:t>
            </w:r>
          </w:p>
        </w:tc>
        <w:tc>
          <w:tcPr/>
          <w:p>
            <w:pPr>
              <w:pStyle w:val="Compact"/>
              <w:jc w:val="left"/>
            </w:pPr>
            <w:r>
              <w:rPr>
                <w:bCs/>
                <w:b/>
              </w:rPr>
              <w:t xml:space="preserve">The Economist</w:t>
            </w:r>
            <w:r>
              <w:t xml:space="preserve"> </w:t>
            </w:r>
            <w:r>
              <w:t xml:space="preserve">— Printed Weekly Edition, 52 issues per year, delivered to the buyer's office in Kuwait City. Includes all standard print content, special reports, and annual almanac.</w:t>
            </w:r>
          </w:p>
        </w:tc>
        <w:tc>
          <w:tcPr/>
          <w:p>
            <w:pPr>
              <w:pStyle w:val="Compact"/>
              <w:jc w:val="left"/>
            </w:pPr>
            <w:r>
              <w:t xml:space="preserve">50</w:t>
            </w:r>
          </w:p>
        </w:tc>
        <w:tc>
          <w:tcPr/>
          <w:p>
            <w:pPr>
              <w:pStyle w:val="Compact"/>
              <w:jc w:val="left"/>
            </w:pPr>
            <w:r>
              <w:t xml:space="preserve">298.00</w:t>
            </w:r>
          </w:p>
        </w:tc>
        <w:tc>
          <w:tcPr/>
          <w:p>
            <w:pPr>
              <w:pStyle w:val="Compact"/>
              <w:jc w:val="left"/>
            </w:pPr>
            <w:r>
              <w:t xml:space="preserve">14,900.00</w:t>
            </w:r>
          </w:p>
        </w:tc>
      </w:tr>
      <w:tr>
        <w:tc>
          <w:tcPr/>
          <w:p>
            <w:pPr>
              <w:pStyle w:val="Compact"/>
              <w:jc w:val="left"/>
            </w:pPr>
            <w:r>
              <w:t xml:space="preserve">03</w:t>
            </w:r>
          </w:p>
        </w:tc>
        <w:tc>
          <w:tcPr/>
          <w:p>
            <w:pPr>
              <w:pStyle w:val="Compact"/>
              <w:jc w:val="left"/>
            </w:pPr>
            <w:r>
              <w:rPr>
                <w:bCs/>
                <w:b/>
              </w:rPr>
              <w:t xml:space="preserve">The Economist</w:t>
            </w:r>
            <w:r>
              <w:t xml:space="preserve"> </w:t>
            </w:r>
            <w:r>
              <w:t xml:space="preserve">— The Economist Intelligence Unit (EIU) Country Risk Reports — Kuwait, Saudi Arabia, UAE, and Qatar (Annual Set, 4 volumes)</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04</w:t>
            </w:r>
          </w:p>
        </w:tc>
        <w:tc>
          <w:tcPr/>
          <w:p>
            <w:pPr>
              <w:pStyle w:val="Compact"/>
              <w:jc w:val="left"/>
            </w:pPr>
            <w:r>
              <w:rPr>
                <w:bCs/>
                <w:b/>
              </w:rPr>
              <w:t xml:space="preserve">The Economist</w:t>
            </w:r>
            <w:r>
              <w:t xml:space="preserve"> </w:t>
            </w:r>
            <w:r>
              <w:t xml:space="preserve">— The Economist Annual Almanac 2025 (Printed, Hardcover), special edition for executive boardroom distribution in Kuwait City</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05</w:t>
            </w:r>
          </w:p>
        </w:tc>
        <w:tc>
          <w:tcPr/>
          <w:p>
            <w:pPr>
              <w:pStyle w:val="Compact"/>
              <w:jc w:val="left"/>
            </w:pPr>
            <w:r>
              <w:rPr>
                <w:bCs/>
                <w:b/>
              </w:rPr>
              <w:t xml:space="preserve">The Economist</w:t>
            </w:r>
            <w:r>
              <w:t xml:space="preserve"> </w:t>
            </w:r>
            <w:r>
              <w:t xml:space="preserve">— Custom Onboarding &amp; Digital Access Setup for 250 user accounts, including SSO integration, training session (virtual), and 12 months of technical support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70,850.00</w:t>
            </w:r>
          </w:p>
        </w:tc>
      </w:tr>
      <w:tr>
        <w:tc>
          <w:tcPr>
            <w:gridSpan w:val="4"/>
          </w:tcPr>
          <w:p>
            <w:pPr>
              <w:pStyle w:val="Compact"/>
              <w:jc w:val="right"/>
            </w:pPr>
            <w:r>
              <w:t xml:space="preserve">Shipping &amp; Customs Clearance (Kuwait City):</w:t>
            </w:r>
          </w:p>
        </w:tc>
        <w:tc>
          <w:tcPr/>
          <w:p>
            <w:pPr>
              <w:pStyle w:val="Compact"/>
              <w:jc w:val="left"/>
            </w:pPr>
            <w:r>
              <w:t xml:space="preserve">1,200.00</w:t>
            </w:r>
          </w:p>
        </w:tc>
      </w:tr>
      <w:tr>
        <w:tc>
          <w:tcPr>
            <w:gridSpan w:val="4"/>
          </w:tcPr>
          <w:p>
            <w:pPr>
              <w:pStyle w:val="Compact"/>
              <w:jc w:val="right"/>
            </w:pPr>
            <w:r>
              <w:t xml:space="preserve">VAT / Applicable Taxes (0% — B2B cross-border):</w:t>
            </w:r>
          </w:p>
        </w:tc>
        <w:tc>
          <w:tcPr/>
          <w:p>
            <w:pPr>
              <w:pStyle w:val="Compact"/>
              <w:jc w:val="left"/>
            </w:pPr>
            <w:r>
              <w:t xml:space="preserve">0.00</w:t>
            </w:r>
          </w:p>
        </w:tc>
      </w:tr>
      <w:tr>
        <w:tc>
          <w:tcPr>
            <w:gridSpan w:val="4"/>
          </w:tcPr>
          <w:p>
            <w:pPr>
              <w:pStyle w:val="Compact"/>
              <w:jc w:val="right"/>
            </w:pPr>
            <w:r>
              <w:t xml:space="preserve">TOTAL AMOUNT DUE (USD):</w:t>
            </w:r>
          </w:p>
        </w:tc>
        <w:tc>
          <w:tcPr/>
          <w:p>
            <w:pPr>
              <w:pStyle w:val="Compact"/>
              <w:jc w:val="left"/>
            </w:pPr>
            <w:r>
              <w:t xml:space="preserve">72,050.00</w:t>
            </w:r>
          </w:p>
        </w:tc>
      </w:tr>
    </w:tbl>
    <w:bookmarkEnd w:id="25"/>
    <w:bookmarkStart w:id="26" w:name="delivery-logistics"/>
    <w:p>
      <w:pPr>
        <w:pStyle w:val="Heading2"/>
      </w:pPr>
      <w:r>
        <w:t xml:space="preserve">4. Delivery &amp; Logistics</w:t>
      </w:r>
    </w:p>
    <w:p>
      <w:pPr>
        <w:pStyle w:val="FirstParagraph"/>
      </w:pPr>
      <w:r>
        <w:t xml:space="preserve">All printed materials under this</w:t>
      </w:r>
      <w:r>
        <w:t xml:space="preserve"> </w:t>
      </w:r>
      <w:r>
        <w:t xml:space="preserve">Purchase Order</w:t>
      </w:r>
      <w:r>
        <w:t xml:space="preserve"> </w:t>
      </w:r>
      <w:r>
        <w:t xml:space="preserve">shall be delivered to the buyer's registered office at 42 Shaikh Jaber Al-Ahmad Al-Sabah Avenue, Safat,</w:t>
      </w:r>
      <w:r>
        <w:t xml:space="preserve"> </w:t>
      </w:r>
      <w:r>
        <w:t xml:space="preserve">Kuwait, Kuwait City</w:t>
      </w:r>
      <w:r>
        <w:t xml:space="preserve">. The seller is responsible for all international shipping, export documentation from the United Kingdom, customs clearance at Kuwait International Airport (KWI), and final-mile delivery within</w:t>
      </w:r>
      <w:r>
        <w:t xml:space="preserve"> </w:t>
      </w:r>
      <w:r>
        <w:t xml:space="preserve">Kuwait City</w:t>
      </w:r>
      <w:r>
        <w:t xml:space="preserve">. Digital subscriptions and institutional licenses shall be activated no later than 01 July 2025. The seller shall provide a written confirmation of activation within five (5) business days of the activation date. All printed copies of</w:t>
      </w:r>
      <w:r>
        <w:t xml:space="preserve"> </w:t>
      </w:r>
      <w:r>
        <w:t xml:space="preserve">The Economist</w:t>
      </w:r>
      <w:r>
        <w:t xml:space="preserve"> </w:t>
      </w:r>
      <w:r>
        <w:t xml:space="preserve">must be in their original, unopened packaging upon arrival at the</w:t>
      </w:r>
      <w:r>
        <w:t xml:space="preserve"> </w:t>
      </w:r>
      <w:r>
        <w:t xml:space="preserve">Kuwait City</w:t>
      </w:r>
      <w:r>
        <w:t xml:space="preserve"> </w:t>
      </w:r>
      <w:r>
        <w:t xml:space="preserve">delivery address.</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Al-Nakheel Business Solutions LLC and The Economist Group Limited upon written acceptance by both parties. All terms herein shall be governed by the United Nations Convention on Contracts for the International Sale of Goods (CISG).</w:t>
      </w:r>
    </w:p>
    <w:p>
      <w:pPr>
        <w:numPr>
          <w:ilvl w:val="0"/>
          <w:numId w:val="1001"/>
        </w:numPr>
        <w:pStyle w:val="Compact"/>
      </w:pPr>
      <w:r>
        <w:t xml:space="preserve">Payment shall be made via wire transfer to the seller's designated bank account within thirty (30) calendar days of the invoice date. Late payments shall incur a penalty of 1.5% per month on the outstanding balance.</w:t>
      </w:r>
    </w:p>
    <w:p>
      <w:pPr>
        <w:numPr>
          <w:ilvl w:val="0"/>
          <w:numId w:val="1001"/>
        </w:numPr>
        <w:pStyle w:val="Compact"/>
      </w:pPr>
      <w:r>
        <w:t xml:space="preserve">The seller warrants that all copies of</w:t>
      </w:r>
      <w:r>
        <w:t xml:space="preserve"> </w:t>
      </w:r>
      <w:r>
        <w:t xml:space="preserve">The Economist</w:t>
      </w:r>
      <w:r>
        <w:t xml:space="preserve"> </w:t>
      </w:r>
      <w:r>
        <w:t xml:space="preserve">and associated publications are genuine, unaltered, and in full compliance with international publishing standards. Any defective or damaged items shall be replaced at the seller's sole expense within fourteen (14) days of written notice from the buyer.</w:t>
      </w:r>
    </w:p>
    <w:p>
      <w:pPr>
        <w:numPr>
          <w:ilvl w:val="0"/>
          <w:numId w:val="1001"/>
        </w:numPr>
        <w:pStyle w:val="Compact"/>
      </w:pPr>
      <w:r>
        <w:t xml:space="preserve">The institutional digital license for</w:t>
      </w:r>
      <w:r>
        <w:t xml:space="preserve"> </w:t>
      </w:r>
      <w:r>
        <w:t xml:space="preserve">The Economist</w:t>
      </w:r>
      <w:r>
        <w:t xml:space="preserve"> </w:t>
      </w:r>
      <w:r>
        <w:t xml:space="preserve">is non-transferable and restricted to the named buyer entity operating in</w:t>
      </w:r>
      <w:r>
        <w:t xml:space="preserve"> </w:t>
      </w:r>
      <w:r>
        <w:t xml:space="preserve">Kuwait, Kuwait City</w:t>
      </w:r>
      <w:r>
        <w:t xml:space="preserve">. Unauthorized redistribution of digital content is strictly prohibited and shall result in immediate termination of the license.</w:t>
      </w:r>
    </w:p>
    <w:p>
      <w:pPr>
        <w:numPr>
          <w:ilvl w:val="0"/>
          <w:numId w:val="1001"/>
        </w:numPr>
        <w:pStyle w:val="Compact"/>
      </w:pPr>
      <w:r>
        <w:t xml:space="preserve">Force majeure events, including but not limited to natural disasters, government sanctions, or disruptions to international shipping routes affecting the Gulf region, shall excuse timely performance. The affected party must notify the other within seventy-two (72) hours of the event.</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accordance with the rules of the International Chamber of Commerce (ICC), with the seat of arbitration in London, United Kingdom. The language of arbitration shall be English.</w:t>
      </w:r>
    </w:p>
    <w:p>
      <w:pPr>
        <w:numPr>
          <w:ilvl w:val="0"/>
          <w:numId w:val="1001"/>
        </w:numPr>
        <w:pStyle w:val="Compact"/>
      </w:pPr>
      <w:r>
        <w:t xml:space="preserve">The buyer reserves the right to inspect all delivered goods upon arrival in</w:t>
      </w:r>
      <w:r>
        <w:t xml:space="preserve"> </w:t>
      </w:r>
      <w:r>
        <w:t xml:space="preserve">Kuwait City</w:t>
      </w:r>
      <w:r>
        <w:t xml:space="preserve">. Any discrepancies in quantity, condition, or content must be reported in writing within five (5) business days of delivery.</w:t>
      </w:r>
    </w:p>
    <w:p>
      <w:pPr>
        <w:numPr>
          <w:ilvl w:val="0"/>
          <w:numId w:val="1001"/>
        </w:numPr>
        <w:pStyle w:val="Compact"/>
      </w:pPr>
      <w:r>
        <w:t xml:space="preserve">This</w:t>
      </w:r>
      <w:r>
        <w:t xml:space="preserve"> </w:t>
      </w:r>
      <w:r>
        <w:t xml:space="preserve">Purchase Order</w:t>
      </w:r>
      <w:r>
        <w:t xml:space="preserve"> </w:t>
      </w:r>
      <w:r>
        <w:t xml:space="preserve">is valid for a period of ninety (90) days from the date of issue. If not accepted within this period, the buyer may issue a revised</w:t>
      </w:r>
      <w:r>
        <w:t xml:space="preserve"> </w:t>
      </w:r>
      <w:r>
        <w:t xml:space="preserve">Purchase Order</w:t>
      </w:r>
      <w:r>
        <w:t xml:space="preserve"> </w:t>
      </w:r>
      <w:r>
        <w:t xml:space="preserve">at updated pricing.</w:t>
      </w:r>
    </w:p>
    <w:bookmarkEnd w:id="27"/>
    <w:bookmarkStart w:id="28" w:name="special-instructions-notes"/>
    <w:p>
      <w:pPr>
        <w:pStyle w:val="Heading2"/>
      </w:pPr>
      <w:r>
        <w:t xml:space="preserve">6. Special Instructions &amp; Notes</w:t>
      </w:r>
    </w:p>
    <w:p>
      <w:pPr>
        <w:pStyle w:val="FirstParagraph"/>
      </w:pPr>
      <w:r>
        <w:t xml:space="preserve">The buyer requests that all printed editions of</w:t>
      </w:r>
      <w:r>
        <w:t xml:space="preserve"> </w:t>
      </w:r>
      <w:r>
        <w:t xml:space="preserve">The Economist</w:t>
      </w:r>
      <w:r>
        <w:t xml:space="preserve"> </w:t>
      </w:r>
      <w:r>
        <w:t xml:space="preserve">be routed through the seller's established logistics partner for the Middle East region to ensure timely delivery to</w:t>
      </w:r>
      <w:r>
        <w:t xml:space="preserve"> </w:t>
      </w:r>
      <w:r>
        <w:t xml:space="preserve">Kuwait, Kuwait City</w:t>
      </w:r>
      <w:r>
        <w:t xml:space="preserve">. The buyer's office operates on a Sunday-through-Thursday work week in accordance with Kuwaiti commercial practice. Delivery personnel should be advised that the receiving office is open from 8:00 AM to 4:30 PM (AST, UTC+3) on those days. A copy of this</w:t>
      </w:r>
      <w:r>
        <w:t xml:space="preserve"> </w:t>
      </w:r>
      <w:r>
        <w:t xml:space="preserve">Purchase Order</w:t>
      </w:r>
      <w:r>
        <w:t xml:space="preserve"> </w:t>
      </w:r>
      <w:r>
        <w:t xml:space="preserve">and the corresponding commercial invoice must accompany all shipments for customs clearance purposes in Kuwait. The buyer's customs broker in</w:t>
      </w:r>
      <w:r>
        <w:t xml:space="preserve"> </w:t>
      </w:r>
      <w:r>
        <w:t xml:space="preserve">Kuwait City</w:t>
      </w:r>
      <w:r>
        <w:t xml:space="preserve"> </w:t>
      </w:r>
      <w:r>
        <w:t xml:space="preserve">(Al-Rashid Customs &amp; Freight, License No. KWT-CF-2021-0087) will handle all import documentation on behalf of the buyer.</w:t>
      </w:r>
    </w:p>
    <w:bookmarkEnd w:id="28"/>
    <w:bookmarkStart w:id="29" w:name="authorization-signatures"/>
    <w:p>
      <w:pPr>
        <w:pStyle w:val="Heading2"/>
      </w:pPr>
      <w:r>
        <w:t xml:space="preserve">7. Authorization &amp; Signatures</w:t>
      </w:r>
    </w:p>
    <w:p>
      <w:pPr>
        <w:pStyle w:val="FirstParagraph"/>
      </w:pPr>
      <w:r>
        <w:rPr>
          <w:bCs/>
          <w:b/>
        </w:rPr>
        <w:t xml:space="preserve">For and on behalf of the Buyer:</w:t>
      </w:r>
    </w:p>
    <w:p>
      <w:pPr>
        <w:pStyle w:val="BodyText"/>
      </w:pPr>
      <w:r>
        <w:t xml:space="preserve">Al-Nakheel Business Solutions LLC</w:t>
      </w:r>
    </w:p>
    <w:p>
      <w:pPr>
        <w:pStyle w:val="BodyText"/>
      </w:pPr>
      <w:r>
        <w:t xml:space="preserve">Name: Mr. Fahad Al-Sabah</w:t>
      </w:r>
    </w:p>
    <w:p>
      <w:pPr>
        <w:pStyle w:val="BodyText"/>
      </w:pPr>
      <w:r>
        <w:t xml:space="preserve">Title: Procurement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Seller:</w:t>
      </w:r>
    </w:p>
    <w:p>
      <w:pPr>
        <w:pStyle w:val="BodyText"/>
      </w:pPr>
      <w:r>
        <w:t xml:space="preserve">The Economist Group Limited</w:t>
      </w:r>
    </w:p>
    <w:p>
      <w:pPr>
        <w:pStyle w:val="BodyText"/>
      </w:pPr>
      <w:r>
        <w:t xml:space="preserve">Name: Ms. Eleanor Whitfield</w:t>
      </w:r>
    </w:p>
    <w:p>
      <w:pPr>
        <w:pStyle w:val="BodyText"/>
      </w:pPr>
      <w:r>
        <w:t xml:space="preserve">Title: Corporate Accounts Manager</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This</w:t>
      </w:r>
      <w:r>
        <w:t xml:space="preserve"> </w:t>
      </w:r>
      <w:r>
        <w:t xml:space="preserve">Purchase Order</w:t>
      </w:r>
      <w:r>
        <w:t xml:space="preserve"> </w:t>
      </w:r>
      <w:r>
        <w:t xml:space="preserve">(No. KWT-2025-04871) was issued by Al-Nakheel Business Solutions LLC, Kuwait, Kuwait City, for the procurement of</w:t>
      </w:r>
      <w:r>
        <w:t xml:space="preserve"> </w:t>
      </w:r>
      <w:r>
        <w:t xml:space="preserve">The Economist</w:t>
      </w:r>
      <w:r>
        <w:t xml:space="preserve"> </w:t>
      </w:r>
      <w:r>
        <w:t xml:space="preserve">publications and related services. This document is confidential and intended solely for the named parties. Unauthorized reproduction or distribution is prohibited. © 2025 Al-Nakheel Business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Kuwait Kuwait City</dc:title>
  <dc:creator/>
  <dc:language>en</dc:language>
  <cp:keywords/>
  <dcterms:created xsi:type="dcterms:W3CDTF">2026-10-10T02:33:06Z</dcterms:created>
  <dcterms:modified xsi:type="dcterms:W3CDTF">2026-10-10T02:33:06Z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