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Subscriptions</w:t>
      </w:r>
      <w:r>
        <w:t xml:space="preserve"> </w:t>
      </w:r>
      <w:r>
        <w:t xml:space="preserve">-</w:t>
      </w:r>
      <w:r>
        <w:t xml:space="preserve"> </w:t>
      </w:r>
      <w:r>
        <w:t xml:space="preserve">Manila,</w:t>
      </w:r>
      <w:r>
        <w:t xml:space="preserve"> </w:t>
      </w:r>
      <w:r>
        <w:t xml:space="preserve">Philippines</w:t>
      </w:r>
    </w:p>
    <w:bookmarkStart w:id="29" w:name="purchase-order"/>
    <w:p>
      <w:pPr>
        <w:pStyle w:val="Heading1"/>
      </w:pPr>
      <w:r>
        <w:t xml:space="preserve">PURCHASE ORDER</w:t>
      </w:r>
    </w:p>
    <w:p>
      <w:pPr>
        <w:pStyle w:val="FirstParagraph"/>
      </w:pPr>
      <w:r>
        <w:t xml:space="preserve">Purchase Order No.:</w:t>
      </w:r>
      <w:r>
        <w:t xml:space="preserve"> </w:t>
      </w:r>
      <w:r>
        <w:t xml:space="preserve">PO-MNL-2025-04782</w:t>
      </w:r>
    </w:p>
    <w:p>
      <w:pPr>
        <w:pStyle w:val="BodyText"/>
      </w:pPr>
      <w:r>
        <w:t xml:space="preserve">Date of Issue:</w:t>
      </w:r>
      <w:r>
        <w:t xml:space="preserve"> </w:t>
      </w:r>
      <w:r>
        <w:t xml:space="preserve">14 June 2025</w:t>
      </w:r>
    </w:p>
    <w:p>
      <w:pPr>
        <w:pStyle w:val="BodyText"/>
      </w:pPr>
      <w:r>
        <w:t xml:space="preserve">Valid Until:</w:t>
      </w:r>
      <w:r>
        <w:t xml:space="preserve"> </w:t>
      </w:r>
      <w:r>
        <w:t xml:space="preserve">14 July 2025</w:t>
      </w:r>
    </w:p>
    <w:p>
      <w:pPr>
        <w:pStyle w:val="BodyText"/>
      </w:pPr>
      <w:r>
        <w:t xml:space="preserve">Country of Origin of Goods/Services:</w:t>
      </w:r>
      <w:r>
        <w:t xml:space="preserve"> </w:t>
      </w:r>
      <w:r>
        <w:t xml:space="preserve">United Kingdom</w:t>
      </w:r>
    </w:p>
    <w:p>
      <w:pPr>
        <w:pStyle w:val="BodyText"/>
      </w:pPr>
      <w:r>
        <w:t xml:space="preserve">Destination:</w:t>
      </w:r>
      <w:r>
        <w:t xml:space="preserve"> </w:t>
      </w:r>
      <w:r>
        <w:t xml:space="preserve">Manila, Philippines</w:t>
      </w:r>
    </w:p>
    <w:bookmarkStart w:id="20" w:name="buyer-purchasing-entity"/>
    <w:p>
      <w:pPr>
        <w:pStyle w:val="Heading3"/>
      </w:pPr>
      <w:r>
        <w:t xml:space="preserve">BUYER (Purchasing Entity)</w:t>
      </w:r>
    </w:p>
    <w:p>
      <w:pPr>
        <w:pStyle w:val="FirstParagraph"/>
      </w:pPr>
      <w:r>
        <w:rPr>
          <w:bCs/>
          <w:b/>
        </w:rPr>
        <w:t xml:space="preserve">Company:</w:t>
      </w:r>
      <w:r>
        <w:t xml:space="preserve"> </w:t>
      </w:r>
      <w:r>
        <w:t xml:space="preserve">Metro Manila Economic Research &amp; Advisory Group, Inc.</w:t>
      </w:r>
    </w:p>
    <w:p>
      <w:pPr>
        <w:pStyle w:val="BodyText"/>
      </w:pPr>
      <w:r>
        <w:rPr>
          <w:bCs/>
          <w:b/>
        </w:rPr>
        <w:t xml:space="preserve">Address:</w:t>
      </w:r>
      <w:r>
        <w:t xml:space="preserve"> </w:t>
      </w:r>
      <w:r>
        <w:t xml:space="preserve">12th Floor, Ayala Center Tower 3, 6811 Ayala Avenue, Makati City, Metro Manila, Philippines 1226</w:t>
      </w:r>
    </w:p>
    <w:p>
      <w:pPr>
        <w:pStyle w:val="BodyText"/>
      </w:pPr>
      <w:r>
        <w:rPr>
          <w:bCs/>
          <w:b/>
        </w:rPr>
        <w:t xml:space="preserve">Tax ID (TIN):</w:t>
      </w:r>
      <w:r>
        <w:t xml:space="preserve"> </w:t>
      </w:r>
      <w:r>
        <w:t xml:space="preserve">201-456-789-000</w:t>
      </w:r>
    </w:p>
    <w:p>
      <w:pPr>
        <w:pStyle w:val="BodyText"/>
      </w:pPr>
      <w:r>
        <w:rPr>
          <w:bCs/>
          <w:b/>
        </w:rPr>
        <w:t xml:space="preserve">Contact Person:</w:t>
      </w:r>
      <w:r>
        <w:t xml:space="preserve"> </w:t>
      </w:r>
      <w:r>
        <w:t xml:space="preserve">Ms. Camille R. Villanueva, Procurement Manager</w:t>
      </w:r>
    </w:p>
    <w:p>
      <w:pPr>
        <w:pStyle w:val="BodyText"/>
      </w:pPr>
      <w:r>
        <w:rPr>
          <w:bCs/>
          <w:b/>
        </w:rPr>
        <w:t xml:space="preserve">Email:</w:t>
      </w:r>
      <w:r>
        <w:t xml:space="preserve"> </w:t>
      </w:r>
      <w:r>
        <w:t xml:space="preserve">c.villanueva@mmerag.ph</w:t>
      </w:r>
    </w:p>
    <w:p>
      <w:pPr>
        <w:pStyle w:val="BodyText"/>
      </w:pPr>
      <w:r>
        <w:rPr>
          <w:bCs/>
          <w:b/>
        </w:rPr>
        <w:t xml:space="preserve">Telephone:</w:t>
      </w:r>
      <w:r>
        <w:t xml:space="preserve"> </w:t>
      </w:r>
      <w:r>
        <w:t xml:space="preserve">+63 (2) 8834-5671</w:t>
      </w:r>
    </w:p>
    <w:bookmarkEnd w:id="20"/>
    <w:bookmarkStart w:id="21" w:name="seller-supplier"/>
    <w:p>
      <w:pPr>
        <w:pStyle w:val="Heading3"/>
      </w:pPr>
      <w:r>
        <w:t xml:space="preserve">SELLER (Supplier)</w:t>
      </w:r>
    </w:p>
    <w:p>
      <w:pPr>
        <w:pStyle w:val="FirstParagraph"/>
      </w:pPr>
      <w:r>
        <w:rPr>
          <w:bCs/>
          <w:b/>
        </w:rPr>
        <w:t xml:space="preserve">Company:</w:t>
      </w:r>
      <w:r>
        <w:t xml:space="preserve"> </w:t>
      </w:r>
      <w:r>
        <w:t xml:space="preserve">The Economist Group, Ltd. – Asia-Pacific Distribution Division</w:t>
      </w:r>
    </w:p>
    <w:p>
      <w:pPr>
        <w:pStyle w:val="BodyText"/>
      </w:pPr>
      <w:r>
        <w:rPr>
          <w:bCs/>
          <w:b/>
        </w:rPr>
        <w:t xml:space="preserve">Address:</w:t>
      </w:r>
      <w:r>
        <w:t xml:space="preserve"> </w:t>
      </w:r>
      <w:r>
        <w:t xml:space="preserve">25 St James's Street, London SW1Y 4HU, United Kingdom</w:t>
      </w:r>
    </w:p>
    <w:p>
      <w:pPr>
        <w:pStyle w:val="BodyText"/>
      </w:pPr>
      <w:r>
        <w:rPr>
          <w:bCs/>
          <w:b/>
        </w:rPr>
        <w:t xml:space="preserve">VAT No.:</w:t>
      </w:r>
      <w:r>
        <w:t xml:space="preserve"> </w:t>
      </w:r>
      <w:r>
        <w:t xml:space="preserve">GB 123 4567 89</w:t>
      </w:r>
    </w:p>
    <w:p>
      <w:pPr>
        <w:pStyle w:val="BodyText"/>
      </w:pPr>
      <w:r>
        <w:rPr>
          <w:bCs/>
          <w:b/>
        </w:rPr>
        <w:t xml:space="preserve">Contact Person:</w:t>
      </w:r>
      <w:r>
        <w:t xml:space="preserve"> </w:t>
      </w:r>
      <w:r>
        <w:t xml:space="preserve">Mr. Jonathan A. Whitfield, Regional Sales Director</w:t>
      </w:r>
    </w:p>
    <w:p>
      <w:pPr>
        <w:pStyle w:val="BodyText"/>
      </w:pPr>
      <w:r>
        <w:rPr>
          <w:bCs/>
          <w:b/>
        </w:rPr>
        <w:t xml:space="preserve">Email:</w:t>
      </w:r>
      <w:r>
        <w:t xml:space="preserve"> </w:t>
      </w:r>
      <w:r>
        <w:t xml:space="preserve">j.whitfield@economist.com</w:t>
      </w:r>
    </w:p>
    <w:p>
      <w:pPr>
        <w:pStyle w:val="BodyText"/>
      </w:pPr>
      <w:r>
        <w:rPr>
          <w:bCs/>
          <w:b/>
        </w:rPr>
        <w:t xml:space="preserve">Telephone:</w:t>
      </w:r>
      <w:r>
        <w:t xml:space="preserve"> </w:t>
      </w:r>
      <w:r>
        <w:t xml:space="preserve">+44 (0)20 7560 0000</w:t>
      </w:r>
    </w:p>
    <w:bookmarkEnd w:id="21"/>
    <w:bookmarkStart w:id="22" w:name="description-of-purchase"/>
    <w:p>
      <w:pPr>
        <w:pStyle w:val="Heading2"/>
      </w:pPr>
      <w:r>
        <w:t xml:space="preserve">1. Description of Purchase</w:t>
      </w:r>
    </w:p>
    <w:p>
      <w:pPr>
        <w:pStyle w:val="FirstParagraph"/>
      </w:pPr>
      <w:r>
        <w:t xml:space="preserve">This Purchase Order is issued by Metro Manila Economic Research &amp; Advisory Group, Inc., a registered corporation in the Philippines, for the procurement of annual digital and print subscriptions to</w:t>
      </w:r>
      <w:r>
        <w:t xml:space="preserve"> </w:t>
      </w:r>
      <w:r>
        <w:rPr>
          <w:bCs/>
          <w:b/>
        </w:rPr>
        <w:t xml:space="preserve">The Economist</w:t>
      </w:r>
      <w:r>
        <w:t xml:space="preserve"> </w:t>
      </w:r>
      <w:r>
        <w:t xml:space="preserve">magazine, along with associated economic data packages, research briefings, and professional development services. The Economist is a globally recognized weekly publication providing in-depth analysis of international affairs, economics, politics, science, and business. The subscriptions and services described herein are intended to support the research, advisory, and analytical operations of the Buyer's Manila-based offices and its satellite research centers located in Quezon City and Cebu, Philippines.</w:t>
      </w:r>
    </w:p>
    <w:bookmarkEnd w:id="22"/>
    <w:bookmarkStart w:id="23" w:name="line-items"/>
    <w:p>
      <w:pPr>
        <w:pStyle w:val="Heading2"/>
      </w:pPr>
      <w:r>
        <w:t xml:space="preserve">2. 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Unit Price (PHP)</w:t>
            </w:r>
          </w:p>
        </w:tc>
        <w:tc>
          <w:tcPr/>
          <w:p>
            <w:pPr>
              <w:pStyle w:val="Compact"/>
              <w:jc w:val="left"/>
            </w:pPr>
            <w:r>
              <w:t xml:space="preserve">Total (PHP)</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The Economist – Annual Digital Subscription (Institutional License, 50 concurrent users), including full archive access to all Economist articles since 1843, weekly digital edition, and mobile app access</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235,200.00</w:t>
            </w:r>
          </w:p>
        </w:tc>
        <w:tc>
          <w:tcPr/>
          <w:p>
            <w:pPr>
              <w:pStyle w:val="Compact"/>
              <w:jc w:val="left"/>
            </w:pPr>
            <w:r>
              <w:t xml:space="preserve">235,200.00</w:t>
            </w:r>
          </w:p>
        </w:tc>
        <w:tc>
          <w:tcPr/>
          <w:p>
            <w:pPr>
              <w:pStyle w:val="Compact"/>
              <w:jc w:val="left"/>
            </w:pPr>
            <w:r>
              <w:t xml:space="preserve">15 July 2025</w:t>
            </w:r>
          </w:p>
        </w:tc>
      </w:tr>
      <w:tr>
        <w:tc>
          <w:tcPr/>
          <w:p>
            <w:pPr>
              <w:pStyle w:val="Compact"/>
              <w:jc w:val="left"/>
            </w:pPr>
            <w:r>
              <w:t xml:space="preserve">2</w:t>
            </w:r>
          </w:p>
        </w:tc>
        <w:tc>
          <w:tcPr/>
          <w:p>
            <w:pPr>
              <w:pStyle w:val="Compact"/>
              <w:jc w:val="left"/>
            </w:pPr>
            <w:r>
              <w:t xml:space="preserve">The Economist – Annual Print Subscription (Weekly delivery, 52 issues per year), delivered to the Buyer's Manila headquarters and two satellite offices</w:t>
            </w:r>
          </w:p>
        </w:tc>
        <w:tc>
          <w:tcPr/>
          <w:p>
            <w:pPr>
              <w:pStyle w:val="Compact"/>
              <w:jc w:val="left"/>
            </w:pPr>
            <w:r>
              <w:t xml:space="preserve">3</w:t>
            </w:r>
          </w:p>
        </w:tc>
        <w:tc>
          <w:tcPr/>
          <w:p>
            <w:pPr>
              <w:pStyle w:val="Compact"/>
              <w:jc w:val="left"/>
            </w:pPr>
            <w:r>
              <w:t xml:space="preserve">380.00</w:t>
            </w:r>
          </w:p>
        </w:tc>
        <w:tc>
          <w:tcPr/>
          <w:p>
            <w:pPr>
              <w:pStyle w:val="Compact"/>
              <w:jc w:val="left"/>
            </w:pPr>
            <w:r>
              <w:t xml:space="preserve">21,280.00</w:t>
            </w:r>
          </w:p>
        </w:tc>
        <w:tc>
          <w:tcPr/>
          <w:p>
            <w:pPr>
              <w:pStyle w:val="Compact"/>
              <w:jc w:val="left"/>
            </w:pPr>
            <w:r>
              <w:t xml:space="preserve">63,840.00</w:t>
            </w:r>
          </w:p>
        </w:tc>
        <w:tc>
          <w:tcPr/>
          <w:p>
            <w:pPr>
              <w:pStyle w:val="Compact"/>
              <w:jc w:val="left"/>
            </w:pPr>
            <w:r>
              <w:t xml:space="preserve">Weekly from 20 July 2025</w:t>
            </w:r>
          </w:p>
        </w:tc>
      </w:tr>
      <w:tr>
        <w:tc>
          <w:tcPr/>
          <w:p>
            <w:pPr>
              <w:pStyle w:val="Compact"/>
              <w:jc w:val="left"/>
            </w:pPr>
            <w:r>
              <w:t xml:space="preserve">3</w:t>
            </w:r>
          </w:p>
        </w:tc>
        <w:tc>
          <w:tcPr/>
          <w:p>
            <w:pPr>
              <w:pStyle w:val="Compact"/>
              <w:jc w:val="left"/>
            </w:pPr>
            <w:r>
              <w:t xml:space="preserve">The Economist Intelligence Unit (EIU) – Country Risk Reports: Philippines, ASEAN, and East Asia (Annual bundle, 12 monthly reports)</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379,680.00</w:t>
            </w:r>
          </w:p>
        </w:tc>
        <w:tc>
          <w:tcPr/>
          <w:p>
            <w:pPr>
              <w:pStyle w:val="Compact"/>
              <w:jc w:val="left"/>
            </w:pPr>
            <w:r>
              <w:t xml:space="preserve">379,680.00</w:t>
            </w:r>
          </w:p>
        </w:tc>
        <w:tc>
          <w:tcPr/>
          <w:p>
            <w:pPr>
              <w:pStyle w:val="Compact"/>
              <w:jc w:val="left"/>
            </w:pPr>
            <w:r>
              <w:t xml:space="preserve">30 July 2025</w:t>
            </w:r>
          </w:p>
        </w:tc>
      </w:tr>
      <w:tr>
        <w:tc>
          <w:tcPr/>
          <w:p>
            <w:pPr>
              <w:pStyle w:val="Compact"/>
              <w:jc w:val="left"/>
            </w:pPr>
            <w:r>
              <w:t xml:space="preserve">4</w:t>
            </w:r>
          </w:p>
        </w:tc>
        <w:tc>
          <w:tcPr/>
          <w:p>
            <w:pPr>
              <w:pStyle w:val="Compact"/>
              <w:jc w:val="left"/>
            </w:pPr>
            <w:r>
              <w:t xml:space="preserve">The Economist – "The World in Data" Economic Dashboard Access (Annual institutional license, real-time GDP, inflation, trade, and fiscal data for 190+ countries)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140,000.00</w:t>
            </w:r>
          </w:p>
        </w:tc>
        <w:tc>
          <w:tcPr/>
          <w:p>
            <w:pPr>
              <w:pStyle w:val="Compact"/>
              <w:jc w:val="left"/>
            </w:pPr>
            <w:r>
              <w:t xml:space="preserve">140,000.00</w:t>
            </w:r>
          </w:p>
        </w:tc>
        <w:tc>
          <w:tcPr/>
          <w:p>
            <w:pPr>
              <w:pStyle w:val="Compact"/>
              <w:jc w:val="left"/>
            </w:pPr>
            <w:r>
              <w:t xml:space="preserve">15 July 2025</w:t>
            </w:r>
          </w:p>
        </w:tc>
      </w:tr>
      <w:tr>
        <w:tc>
          <w:tcPr/>
          <w:p>
            <w:pPr>
              <w:pStyle w:val="Compact"/>
              <w:jc w:val="left"/>
            </w:pPr>
            <w:r>
              <w:t xml:space="preserve">5</w:t>
            </w:r>
          </w:p>
        </w:tc>
        <w:tc>
          <w:tcPr/>
          <w:p>
            <w:pPr>
              <w:pStyle w:val="Compact"/>
              <w:jc w:val="left"/>
            </w:pPr>
            <w:r>
              <w:t xml:space="preserve">The Economist – Annual "Economist of the Year" Conference Pass (London, UK) with virtual attendance option for Manila-based staff, including keynote sessions on global economic policy</w:t>
            </w:r>
          </w:p>
        </w:tc>
        <w:tc>
          <w:tcPr/>
          <w:p>
            <w:pPr>
              <w:pStyle w:val="Compact"/>
              <w:jc w:val="left"/>
            </w:pPr>
            <w:r>
              <w:t xml:space="preserve">5</w:t>
            </w:r>
          </w:p>
        </w:tc>
        <w:tc>
          <w:tcPr/>
          <w:p>
            <w:pPr>
              <w:pStyle w:val="Compact"/>
              <w:jc w:val="left"/>
            </w:pPr>
            <w:r>
              <w:t xml:space="preserve">1,100.00</w:t>
            </w:r>
          </w:p>
        </w:tc>
        <w:tc>
          <w:tcPr/>
          <w:p>
            <w:pPr>
              <w:pStyle w:val="Compact"/>
              <w:jc w:val="left"/>
            </w:pPr>
            <w:r>
              <w:t xml:space="preserve">61,600.00</w:t>
            </w:r>
          </w:p>
        </w:tc>
        <w:tc>
          <w:tcPr/>
          <w:p>
            <w:pPr>
              <w:pStyle w:val="Compact"/>
              <w:jc w:val="left"/>
            </w:pPr>
            <w:r>
              <w:t xml:space="preserve">308,000.00</w:t>
            </w:r>
          </w:p>
        </w:tc>
        <w:tc>
          <w:tcPr/>
          <w:p>
            <w:pPr>
              <w:pStyle w:val="Compact"/>
              <w:jc w:val="left"/>
            </w:pPr>
            <w:r>
              <w:t xml:space="preserve">10 November 2025</w:t>
            </w:r>
          </w:p>
        </w:tc>
      </w:tr>
      <w:tr>
        <w:tc>
          <w:tcPr/>
          <w:p>
            <w:pPr>
              <w:pStyle w:val="Compact"/>
              <w:jc w:val="left"/>
            </w:pPr>
            <w:r>
              <w:t xml:space="preserve">6</w:t>
            </w:r>
          </w:p>
        </w:tc>
        <w:tc>
          <w:tcPr/>
          <w:p>
            <w:pPr>
              <w:pStyle w:val="Compact"/>
              <w:jc w:val="left"/>
            </w:pPr>
            <w:r>
              <w:t xml:space="preserve">The Economist – Custom Research Briefing: "Philippine Economic Outlook 2026" (Commissioned 40-page analytical report on Philippine GDP growth, BPO sector, infrastructure spending, and monetary policy)</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196,000.00</w:t>
            </w:r>
          </w:p>
        </w:tc>
        <w:tc>
          <w:tcPr/>
          <w:p>
            <w:pPr>
              <w:pStyle w:val="Compact"/>
              <w:jc w:val="left"/>
            </w:pPr>
            <w:r>
              <w:t xml:space="preserve">196,000.00</w:t>
            </w:r>
          </w:p>
        </w:tc>
        <w:tc>
          <w:tcPr/>
          <w:p>
            <w:pPr>
              <w:pStyle w:val="Compact"/>
              <w:jc w:val="left"/>
            </w:pPr>
            <w:r>
              <w:t xml:space="preserve">31 August 2025</w:t>
            </w:r>
          </w:p>
        </w:tc>
      </w:tr>
      <w:tr>
        <w:tc>
          <w:tcPr/>
          <w:p>
            <w:pPr>
              <w:pStyle w:val="Compact"/>
              <w:jc w:val="left"/>
            </w:pPr>
            <w:r>
              <w:t xml:space="preserve">7</w:t>
            </w:r>
          </w:p>
        </w:tc>
        <w:tc>
          <w:tcPr/>
          <w:p>
            <w:pPr>
              <w:pStyle w:val="Compact"/>
              <w:jc w:val="left"/>
            </w:pPr>
            <w:r>
              <w:t xml:space="preserve">The Economist – Professional Development Workshop: "Advanced Macroeconomic Analysis for Policy Advisors" (2-day in-person workshop, Manila, Philippines, hosted by Economist Group faculty)</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448,000.00</w:t>
            </w:r>
          </w:p>
        </w:tc>
        <w:tc>
          <w:tcPr/>
          <w:p>
            <w:pPr>
              <w:pStyle w:val="Compact"/>
              <w:jc w:val="left"/>
            </w:pPr>
            <w:r>
              <w:t xml:space="preserve">448,000.00</w:t>
            </w:r>
          </w:p>
        </w:tc>
        <w:tc>
          <w:tcPr/>
          <w:p>
            <w:pPr>
              <w:pStyle w:val="Compact"/>
              <w:jc w:val="left"/>
            </w:pPr>
            <w:r>
              <w:t xml:space="preserve">15–16 September 2025</w:t>
            </w:r>
          </w:p>
        </w:tc>
      </w:tr>
    </w:tbl>
    <w:bookmarkEnd w:id="23"/>
    <w:bookmarkStart w:id="24" w:name="payment-terms"/>
    <w:p>
      <w:pPr>
        <w:pStyle w:val="Heading2"/>
      </w:pPr>
      <w:r>
        <w:t xml:space="preserve">3. Payment Terms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Term</w:t>
            </w:r>
          </w:p>
        </w:tc>
        <w:tc>
          <w:tcPr/>
          <w:p>
            <w:pPr>
              <w:pStyle w:val="Compact"/>
              <w:jc w:val="left"/>
            </w:pPr>
            <w:r>
              <w:t xml:space="preserve">Detail</w:t>
            </w:r>
          </w:p>
        </w:tc>
      </w:tr>
      <w:tr>
        <w:tc>
          <w:tcPr/>
          <w:p>
            <w:pPr>
              <w:pStyle w:val="Compact"/>
              <w:jc w:val="left"/>
            </w:pPr>
            <w:r>
              <w:t xml:space="preserve">Payment Currency</w:t>
            </w:r>
          </w:p>
        </w:tc>
        <w:tc>
          <w:tcPr/>
          <w:p>
            <w:pPr>
              <w:pStyle w:val="Compact"/>
              <w:jc w:val="left"/>
            </w:pPr>
            <w:r>
              <w:t xml:space="preserve">Philippine Peso (PHP), converted at the Bangko Sentral ng Pilipinas (BSP) reference rate on the date of invoice</w:t>
            </w:r>
          </w:p>
        </w:tc>
      </w:tr>
      <w:tr>
        <w:tc>
          <w:tcPr/>
          <w:p>
            <w:pPr>
              <w:pStyle w:val="Compact"/>
              <w:jc w:val="left"/>
            </w:pPr>
            <w:r>
              <w:t xml:space="preserve">Payment Schedule</w:t>
            </w:r>
          </w:p>
        </w:tc>
        <w:tc>
          <w:tcPr/>
          <w:p>
            <w:pPr>
              <w:pStyle w:val="Compact"/>
              <w:jc w:val="left"/>
            </w:pPr>
            <w:r>
              <w:t xml:space="preserve">50% advance payment upon acceptance of this Purchase Order; 50% balance due within 30 days of final delivery and acceptance</w:t>
            </w:r>
          </w:p>
        </w:tc>
      </w:tr>
      <w:tr>
        <w:tc>
          <w:tcPr/>
          <w:p>
            <w:pPr>
              <w:pStyle w:val="Compact"/>
              <w:jc w:val="left"/>
            </w:pPr>
            <w:r>
              <w:t xml:space="preserve">Payment Method</w:t>
            </w:r>
          </w:p>
        </w:tc>
        <w:tc>
          <w:tcPr/>
          <w:p>
            <w:pPr>
              <w:pStyle w:val="Compact"/>
              <w:jc w:val="left"/>
            </w:pPr>
            <w:r>
              <w:t xml:space="preserve">Wire transfer to The Economist Group, Ltd. designated account, or irrevocable Letter of Credit issued by a Philippine bank acceptable to the Seller</w:t>
            </w:r>
          </w:p>
        </w:tc>
      </w:tr>
      <w:tr>
        <w:tc>
          <w:tcPr/>
          <w:p>
            <w:pPr>
              <w:pStyle w:val="Compact"/>
              <w:jc w:val="left"/>
            </w:pPr>
            <w:r>
              <w:t xml:space="preserve">Tax and Duties</w:t>
            </w:r>
          </w:p>
        </w:tc>
        <w:tc>
          <w:tcPr/>
          <w:p>
            <w:pPr>
              <w:pStyle w:val="Compact"/>
              <w:jc w:val="left"/>
            </w:pPr>
            <w:r>
              <w:t xml:space="preserve">All applicable Philippine Value-Added Tax (VAT) at 12%, withholding tax, and customs duties (if applicable to physical print deliveries) shall be borne by the Buyer in accordance with the Tax Code of the Philippines (Republic Act No. 11250)</w:t>
            </w:r>
          </w:p>
        </w:tc>
      </w:tr>
      <w:tr>
        <w:tc>
          <w:tcPr/>
          <w:p>
            <w:pPr>
              <w:pStyle w:val="Compact"/>
              <w:jc w:val="left"/>
            </w:pPr>
            <w:r>
              <w:t xml:space="preserve">Late Payment Penalty</w:t>
            </w:r>
          </w:p>
        </w:tc>
        <w:tc>
          <w:tcPr/>
          <w:p>
            <w:pPr>
              <w:pStyle w:val="Compact"/>
              <w:jc w:val="left"/>
            </w:pPr>
            <w:r>
              <w:t xml:space="preserve">1.5% per month on outstanding balances, in compliance with Philippine commercial law</w:t>
            </w:r>
          </w:p>
        </w:tc>
      </w:tr>
    </w:tbl>
    <w:bookmarkEnd w:id="24"/>
    <w:bookmarkStart w:id="25" w:name="delivery-and-acceptance"/>
    <w:p>
      <w:pPr>
        <w:pStyle w:val="Heading2"/>
      </w:pPr>
      <w:r>
        <w:t xml:space="preserve">4. Delivery and Acceptance</w:t>
      </w:r>
    </w:p>
    <w:p>
      <w:pPr>
        <w:pStyle w:val="FirstParagraph"/>
      </w:pPr>
      <w:r>
        <w:t xml:space="preserve">All digital subscriptions, data packages, and electronic reports shall be delivered via secure encrypted transfer to the Buyer's designated IT infrastructure at the Manila headquarters. Physical print copies of The Economist shall be delivered via internationally recognized courier service to the following Philippine addresses: (a) 12th Floor, Ayala Center Tower 3, Makati City, Metro Manila; (b) 4565 EDSA, Brgy. San Antonio, Quezon City, Philippines; and (c) 88 Cebu Business Park, Cebu City, Philippines. The Buyer shall have ten (10) business days from the date of delivery to inspect and accept or reject the goods and services. Acceptance shall be confirmed in writing by the Procurement Manager.</w:t>
      </w:r>
    </w:p>
    <w:bookmarkEnd w:id="25"/>
    <w:bookmarkStart w:id="26" w:name="terms-and-conditions"/>
    <w:p>
      <w:pPr>
        <w:pStyle w:val="Heading2"/>
      </w:pPr>
      <w:r>
        <w:t xml:space="preserve">5. Terms and Conditions</w:t>
      </w:r>
    </w:p>
    <w:p>
      <w:pPr>
        <w:pStyle w:val="FirstParagraph"/>
      </w:pPr>
      <w:r>
        <w:t xml:space="preserve">This Purchase Order is governed by and shall be construed in accordance with the laws of the Republic of the Philippines. In the event of any dispute arising from or in connection with this Purchase Order, the parties shall first attempt to resolve the matter through good-faith negotiation. Should negotiation fail, the dispute shall be submitted to arbitration under the rules of the Philippine Dispute Resolution Center, Inc. (PDRCI) in Manila, Philippines. The language of the arbitration shall be English. This Purchase Order constitutes the entire agreement between the parties with respect to the subject matter hereof and supersedes all prior negotiations, representations, and agreements. No modification of this Purchase Order shall be valid unless made in writing and signed by authorized representatives of both parties. The Seller warrants that all digital content, including The Economist articles, EIU reports, and data dashboards, shall be free from defects and shall be provided in full compliance with applicable Philippine data privacy laws (Data Privacy Act of 2012, Republic Act No. 10173).</w:t>
      </w:r>
    </w:p>
    <w:bookmarkEnd w:id="26"/>
    <w:bookmarkStart w:id="27" w:name="special-instructions"/>
    <w:p>
      <w:pPr>
        <w:pStyle w:val="Heading2"/>
      </w:pPr>
      <w:r>
        <w:t xml:space="preserve">6. Special Instructions</w:t>
      </w:r>
    </w:p>
    <w:p>
      <w:pPr>
        <w:pStyle w:val="FirstParagraph"/>
      </w:pPr>
      <w:r>
        <w:rPr>
          <w:bCs/>
          <w:b/>
        </w:rPr>
        <w:t xml:space="preserve">Note 1:</w:t>
      </w:r>
      <w:r>
        <w:t xml:space="preserve"> </w:t>
      </w:r>
      <w:r>
        <w:t xml:space="preserve">All print deliveries to the Philippines must be clearly marked "ECONOMIST – BUSINESS PUBLICATION" to facilitate customs clearance at Ninoy Aquino International Airport (NAIA) and Manila International Airport. The Seller shall provide a commercial invoice and packing list with each shipment.</w:t>
      </w:r>
    </w:p>
    <w:p>
      <w:pPr>
        <w:pStyle w:val="BodyText"/>
      </w:pPr>
      <w:r>
        <w:rPr>
          <w:bCs/>
          <w:b/>
        </w:rPr>
        <w:t xml:space="preserve">Note 2:</w:t>
      </w:r>
      <w:r>
        <w:t xml:space="preserve"> </w:t>
      </w:r>
      <w:r>
        <w:t xml:space="preserve">The institutional digital license for The Economist must be configured to allow access from Philippine IP addresses and must support the Philippine Standard Time (PST, UTC+8) timezone for all scheduled content releases.</w:t>
      </w:r>
    </w:p>
    <w:p>
      <w:pPr>
        <w:pStyle w:val="BodyText"/>
      </w:pPr>
      <w:r>
        <w:rPr>
          <w:bCs/>
          <w:b/>
        </w:rPr>
        <w:t xml:space="preserve">Note 3:</w:t>
      </w:r>
      <w:r>
        <w:t xml:space="preserve"> </w:t>
      </w:r>
      <w:r>
        <w:t xml:space="preserve">The commissioned research briefing on the Philippine Economic Outlook 2026 must be reviewed and approved by the Buyer's Chief Economist prior to final delivery. Two (2) revision cycles are included at no additional cost.</w:t>
      </w:r>
    </w:p>
    <w:p>
      <w:pPr>
        <w:pStyle w:val="BodyText"/>
      </w:pPr>
      <w:r>
        <w:rPr>
          <w:bCs/>
          <w:b/>
        </w:rPr>
        <w:t xml:space="preserve">Note 4:</w:t>
      </w:r>
      <w:r>
        <w:t xml:space="preserve"> </w:t>
      </w:r>
      <w:r>
        <w:t xml:space="preserve">The in-person workshop in Manila shall be conducted at the Buyer's conference facility in Makati City. The Buyer shall provide venue, local catering, and logistical support. The Seller shall provide all instructional materials, faculty, and certification of completion for participants.</w:t>
      </w:r>
    </w:p>
    <w:bookmarkEnd w:id="27"/>
    <w:bookmarkStart w:id="28" w:name="authorization-and-signatures"/>
    <w:p>
      <w:pPr>
        <w:pStyle w:val="Heading2"/>
      </w:pPr>
      <w:r>
        <w:t xml:space="preserve">7. Authorization and Signatures</w:t>
      </w:r>
    </w:p>
    <w:p>
      <w:pPr>
        <w:pStyle w:val="FirstParagraph"/>
      </w:pPr>
      <w:r>
        <w:rPr>
          <w:bCs/>
          <w:b/>
        </w:rPr>
        <w:t xml:space="preserve">For and on behalf of the BUYER:</w:t>
      </w:r>
    </w:p>
    <w:p>
      <w:pPr>
        <w:pStyle w:val="BodyText"/>
      </w:pPr>
      <w:r>
        <w:t xml:space="preserve">Metro Manila Economic Research &amp; Advisory Group, Inc.</w:t>
      </w:r>
    </w:p>
    <w:p>
      <w:pPr>
        <w:pStyle w:val="BodyText"/>
      </w:pPr>
      <w:r>
        <w:t xml:space="preserve">Ms. Camille R. Villanueva</w:t>
      </w:r>
    </w:p>
    <w:p>
      <w:pPr>
        <w:pStyle w:val="BodyText"/>
      </w:pPr>
      <w:r>
        <w:t xml:space="preserve">Procurement Manager</w:t>
      </w:r>
    </w:p>
    <w:p>
      <w:pPr>
        <w:pStyle w:val="BodyText"/>
      </w:pPr>
      <w:r>
        <w:t xml:space="preserve">Date: _______________</w:t>
      </w:r>
    </w:p>
    <w:p>
      <w:pPr>
        <w:pStyle w:val="BodyText"/>
      </w:pPr>
      <w:r>
        <w:rPr>
          <w:bCs/>
          <w:b/>
        </w:rPr>
        <w:t xml:space="preserve">For and on behalf of the SELLER:</w:t>
      </w:r>
    </w:p>
    <w:p>
      <w:pPr>
        <w:pStyle w:val="BodyText"/>
      </w:pPr>
      <w:r>
        <w:t xml:space="preserve">The Economist Group, Ltd.</w:t>
      </w:r>
    </w:p>
    <w:p>
      <w:pPr>
        <w:pStyle w:val="BodyText"/>
      </w:pPr>
      <w:r>
        <w:t xml:space="preserve">Mr. Jonathan A. Whitfield</w:t>
      </w:r>
    </w:p>
    <w:p>
      <w:pPr>
        <w:pStyle w:val="BodyText"/>
      </w:pPr>
      <w:r>
        <w:t xml:space="preserve">Regional Sales Director, Asia-Pacific</w:t>
      </w:r>
    </w:p>
    <w:p>
      <w:pPr>
        <w:pStyle w:val="BodyText"/>
      </w:pPr>
      <w:r>
        <w:t xml:space="preserve">Date: _______________</w:t>
      </w:r>
    </w:p>
    <w:p>
      <w:pPr>
        <w:pStyle w:val="BodyText"/>
      </w:pPr>
      <w:r>
        <w:t xml:space="preserve">This Purchase Order was prepared and issued in Manila, Philippines. Document Reference: PO-MNL-2025-04782 | Page 1 of 1</w:t>
      </w:r>
    </w:p>
    <w:p>
      <w:pPr>
        <w:pStyle w:val="BodyText"/>
      </w:pPr>
      <w:r>
        <w:t xml:space="preserve">© 2025 Metro Manila Economic Research &amp; Advisory Group, Inc. –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Subscriptions - Manila, Philippines</dc:title>
  <dc:creator/>
  <dc:language>en</dc:language>
  <cp:keywords/>
  <dcterms:created xsi:type="dcterms:W3CDTF">2026-10-10T01:57:46Z</dcterms:created>
  <dcterms:modified xsi:type="dcterms:W3CDTF">2026-10-10T01:57:46Z</dcterms:modified>
</cp:coreProperties>
</file>

<file path=docProps/custom.xml><?xml version="1.0" encoding="utf-8"?>
<Properties xmlns="http://schemas.openxmlformats.org/officeDocument/2006/custom-properties" xmlns:vt="http://schemas.openxmlformats.org/officeDocument/2006/docPropsVTypes"/>
</file>