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The</w:t>
      </w:r>
      <w:r>
        <w:t xml:space="preserve"> </w:t>
      </w:r>
      <w:r>
        <w:t xml:space="preserve">Economist</w:t>
      </w:r>
      <w:r>
        <w:t xml:space="preserve"> </w:t>
      </w:r>
      <w:r>
        <w:t xml:space="preserve">Subscriptions</w:t>
      </w:r>
      <w:r>
        <w:t xml:space="preserve"> </w:t>
      </w:r>
      <w:r>
        <w:t xml:space="preserve">and</w:t>
      </w:r>
      <w:r>
        <w:t xml:space="preserve"> </w:t>
      </w:r>
      <w:r>
        <w:t xml:space="preserve">Economic</w:t>
      </w:r>
      <w:r>
        <w:t xml:space="preserve"> </w:t>
      </w:r>
      <w:r>
        <w:t xml:space="preserve">Services</w:t>
      </w:r>
    </w:p>
    <w:bookmarkStart w:id="20" w:name="purchase-order"/>
    <w:p>
      <w:pPr>
        <w:pStyle w:val="Heading1"/>
      </w:pPr>
      <w:r>
        <w:t xml:space="preserve">PURCHASE ORDER</w:t>
      </w:r>
    </w:p>
    <w:p>
      <w:pPr>
        <w:pStyle w:val="FirstParagraph"/>
      </w:pPr>
      <w:r>
        <w:t xml:space="preserve">Official Procurement Document – United States Miami</w:t>
      </w:r>
    </w:p>
    <w:bookmarkEnd w:id="20"/>
    <w:tbl>
      <w:tblPr>
        <w:tblStyle w:val="Table"/>
        <w:tblW w:type="pct" w:w="5000"/>
        <w:tblLook w:firstRow="0" w:lastRow="0" w:firstColumn="0" w:lastColumn="0" w:noHBand="0" w:noVBand="0" w:val="0000"/>
      </w:tblPr>
      <w:tblGrid>
        <w:gridCol w:w="3960"/>
        <w:gridCol w:w="3960"/>
      </w:tblGrid>
      <w:tr>
        <w:tc>
          <w:tcPr/>
          <w:p>
            <w:pPr>
              <w:pStyle w:val="Heading3"/>
              <w:jc w:val="left"/>
            </w:pPr>
            <w:bookmarkStart w:id="21" w:name="purchasing-entity"/>
            <w:r>
              <w:t xml:space="preserve">Purchasing Entity</w:t>
            </w:r>
            <w:bookmarkEnd w:id="21"/>
          </w:p>
          <w:p>
            <w:pPr>
              <w:jc w:val="left"/>
            </w:pPr>
            <w:r>
              <w:rPr>
                <w:bCs/>
                <w:b/>
              </w:rPr>
              <w:t xml:space="preserve">Company:</w:t>
            </w:r>
            <w:r>
              <w:t xml:space="preserve"> </w:t>
            </w:r>
            <w:r>
              <w:t xml:space="preserve">Miami Atlantic Economic Research Group, LLC</w:t>
            </w:r>
          </w:p>
          <w:p>
            <w:pPr>
              <w:jc w:val="left"/>
            </w:pPr>
            <w:r>
              <w:rPr>
                <w:bCs/>
                <w:b/>
              </w:rPr>
              <w:t xml:space="preserve">Address:</w:t>
            </w:r>
            <w:r>
              <w:t xml:space="preserve"> </w:t>
            </w:r>
            <w:r>
              <w:t xml:space="preserve">1200 Brickell Avenue, Suite 2400, Miami, Florida 33131, United States</w:t>
            </w:r>
          </w:p>
          <w:p>
            <w:pPr>
              <w:jc w:val="left"/>
            </w:pPr>
            <w:r>
              <w:rPr>
                <w:bCs/>
                <w:b/>
              </w:rPr>
              <w:t xml:space="preserve">Contact:</w:t>
            </w:r>
            <w:r>
              <w:t xml:space="preserve"> </w:t>
            </w:r>
            <w:r>
              <w:t xml:space="preserve">Mr. Daniel R. Castellanos, Director of Procurement</w:t>
            </w:r>
          </w:p>
          <w:p>
            <w:pPr>
              <w:jc w:val="left"/>
            </w:pPr>
            <w:r>
              <w:rPr>
                <w:bCs/>
                <w:b/>
              </w:rPr>
              <w:t xml:space="preserve">Phone:</w:t>
            </w:r>
            <w:r>
              <w:t xml:space="preserve"> </w:t>
            </w:r>
            <w:r>
              <w:t xml:space="preserve">(305) 555-0187</w:t>
            </w:r>
          </w:p>
          <w:p>
            <w:pPr>
              <w:jc w:val="left"/>
            </w:pPr>
            <w:r>
              <w:rPr>
                <w:bCs/>
                <w:b/>
              </w:rPr>
              <w:t xml:space="preserve">Email:</w:t>
            </w:r>
            <w:r>
              <w:t xml:space="preserve"> </w:t>
            </w:r>
            <w:r>
              <w:t xml:space="preserve">procurement@miamiatlanticerg.com</w:t>
            </w:r>
          </w:p>
        </w:tc>
        <w:tc>
          <w:tcPr/>
          <w:p>
            <w:pPr>
              <w:pStyle w:val="Heading3"/>
              <w:jc w:val="left"/>
            </w:pPr>
            <w:bookmarkStart w:id="22" w:name="vendor-supplier"/>
            <w:r>
              <w:t xml:space="preserve">Vendor / Supplier</w:t>
            </w:r>
            <w:bookmarkEnd w:id="22"/>
          </w:p>
          <w:p>
            <w:pPr>
              <w:jc w:val="left"/>
            </w:pPr>
            <w:r>
              <w:rPr>
                <w:bCs/>
                <w:b/>
              </w:rPr>
              <w:t xml:space="preserve">Company:</w:t>
            </w:r>
            <w:r>
              <w:t xml:space="preserve"> </w:t>
            </w:r>
            <w:r>
              <w:t xml:space="preserve">The Economist Group, Inc. – North American Distribution</w:t>
            </w:r>
          </w:p>
          <w:p>
            <w:pPr>
              <w:jc w:val="left"/>
            </w:pPr>
            <w:r>
              <w:rPr>
                <w:bCs/>
                <w:b/>
              </w:rPr>
              <w:t xml:space="preserve">Address:</w:t>
            </w:r>
            <w:r>
              <w:t xml:space="preserve"> </w:t>
            </w:r>
            <w:r>
              <w:t xml:space="preserve">350 Fifth Avenue, New York, NY 10118, United States</w:t>
            </w:r>
          </w:p>
          <w:p>
            <w:pPr>
              <w:jc w:val="left"/>
            </w:pPr>
            <w:r>
              <w:rPr>
                <w:bCs/>
                <w:b/>
              </w:rPr>
              <w:t xml:space="preserve">Contact:</w:t>
            </w:r>
            <w:r>
              <w:t xml:space="preserve"> </w:t>
            </w:r>
            <w:r>
              <w:t xml:space="preserve">Ms. Patricia L. Whitmore, Regional Sales Manager</w:t>
            </w:r>
          </w:p>
          <w:p>
            <w:pPr>
              <w:jc w:val="left"/>
            </w:pPr>
            <w:r>
              <w:rPr>
                <w:bCs/>
                <w:b/>
              </w:rPr>
              <w:t xml:space="preserve">Phone:</w:t>
            </w:r>
            <w:r>
              <w:t xml:space="preserve"> </w:t>
            </w:r>
            <w:r>
              <w:t xml:space="preserve">(212) 555-0342</w:t>
            </w:r>
          </w:p>
          <w:p>
            <w:pPr>
              <w:jc w:val="left"/>
            </w:pPr>
            <w:r>
              <w:rPr>
                <w:bCs/>
                <w:b/>
              </w:rPr>
              <w:t xml:space="preserve">Email:</w:t>
            </w:r>
            <w:r>
              <w:t xml:space="preserve"> </w:t>
            </w:r>
            <w:r>
              <w:t xml:space="preserve">p.whitmore@economistgroup.com</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Number:</w:t>
            </w:r>
            <w:r>
              <w:t xml:space="preserve"> </w:t>
            </w:r>
            <w:r>
              <w:t xml:space="preserve">PO-MIA-2025-04471</w:t>
            </w:r>
          </w:p>
        </w:tc>
        <w:tc>
          <w:tcPr/>
          <w:p>
            <w:pPr>
              <w:pStyle w:val="Compact"/>
              <w:jc w:val="right"/>
            </w:pPr>
            <w:r>
              <w:rPr>
                <w:bCs/>
                <w:b/>
              </w:rPr>
              <w:t xml:space="preserve">Date of Issue:</w:t>
            </w:r>
            <w:r>
              <w:t xml:space="preserve"> </w:t>
            </w:r>
            <w:r>
              <w:t xml:space="preserve">June 12, 2025</w:t>
            </w:r>
          </w:p>
        </w:tc>
      </w:tr>
      <w:tr>
        <w:tc>
          <w:tcPr/>
          <w:p>
            <w:pPr>
              <w:pStyle w:val="Compact"/>
              <w:jc w:val="left"/>
            </w:pPr>
            <w:r>
              <w:rPr>
                <w:bCs/>
                <w:b/>
              </w:rPr>
              <w:t xml:space="preserve">Delivery Location:</w:t>
            </w:r>
            <w:r>
              <w:t xml:space="preserve"> </w:t>
            </w:r>
            <w:r>
              <w:t xml:space="preserve">Miami, Florida, United States</w:t>
            </w:r>
          </w:p>
        </w:tc>
        <w:tc>
          <w:tcPr/>
          <w:p>
            <w:pPr>
              <w:pStyle w:val="Compact"/>
              <w:jc w:val="right"/>
            </w:pPr>
            <w:r>
              <w:rPr>
                <w:bCs/>
                <w:b/>
              </w:rPr>
              <w:t xml:space="preserve">Required Delivery Date:</w:t>
            </w:r>
            <w:r>
              <w:t xml:space="preserve"> </w:t>
            </w:r>
            <w:r>
              <w:t xml:space="preserve">July 1, 2025</w:t>
            </w:r>
          </w:p>
        </w:tc>
      </w:tr>
      <w:tr>
        <w:tc>
          <w:tcPr/>
          <w:p>
            <w:pPr>
              <w:pStyle w:val="Compact"/>
              <w:jc w:val="left"/>
            </w:pPr>
            <w:r>
              <w:rPr>
                <w:bCs/>
                <w:b/>
              </w:rPr>
              <w:t xml:space="preserve">Payment Terms:</w:t>
            </w:r>
            <w:r>
              <w:t xml:space="preserve"> </w:t>
            </w:r>
            <w:r>
              <w:t xml:space="preserve">Net 30 Days from Invoice Date</w:t>
            </w:r>
          </w:p>
        </w:tc>
        <w:tc>
          <w:tcPr/>
          <w:p>
            <w:pPr>
              <w:pStyle w:val="Compact"/>
              <w:jc w:val="right"/>
            </w:pPr>
            <w:r>
              <w:rPr>
                <w:bCs/>
                <w:b/>
              </w:rPr>
              <w:t xml:space="preserve">Currency:</w:t>
            </w:r>
            <w:r>
              <w:t xml:space="preserve"> </w:t>
            </w:r>
            <w:r>
              <w:t xml:space="preserve">United States Dollars (USD)</w:t>
            </w:r>
          </w:p>
        </w:tc>
      </w:tr>
      <w:tr>
        <w:tc>
          <w:tcPr/>
          <w:p>
            <w:pPr>
              <w:pStyle w:val="Compact"/>
              <w:jc w:val="left"/>
            </w:pPr>
            <w:r>
              <w:rPr>
                <w:bCs/>
                <w:b/>
              </w:rPr>
              <w:t xml:space="preserve">Incoterms:</w:t>
            </w:r>
            <w:r>
              <w:t xml:space="preserve"> </w:t>
            </w:r>
            <w:r>
              <w:t xml:space="preserve">DDP – Miami, United States</w:t>
            </w:r>
          </w:p>
        </w:tc>
        <w:tc>
          <w:tcPr/>
          <w:p>
            <w:pPr>
              <w:pStyle w:val="Compact"/>
              <w:jc w:val="right"/>
            </w:pPr>
            <w:r>
              <w:rPr>
                <w:bCs/>
                <w:b/>
              </w:rPr>
              <w:t xml:space="preserve">Valid Until:</w:t>
            </w:r>
            <w:r>
              <w:t xml:space="preserve"> </w:t>
            </w:r>
            <w:r>
              <w:t xml:space="preserve">July 12, 2025</w:t>
            </w:r>
          </w:p>
        </w:tc>
      </w:tr>
    </w:tbl>
    <w:bookmarkStart w:id="23" w:name="Xf0d8d9e391873c4b44011c4823c4e8f0e47289b"/>
    <w:p>
      <w:pPr>
        <w:pStyle w:val="Heading2"/>
      </w:pPr>
      <w:r>
        <w:t xml:space="preserve">Line Items – The Economist Publications and Economic Advisory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center"/>
            </w:pPr>
            <w:r>
              <w:t xml:space="preserve">Qty</w:t>
            </w:r>
          </w:p>
        </w:tc>
        <w:tc>
          <w:tcPr/>
          <w:p>
            <w:pPr>
              <w:pStyle w:val="Compact"/>
              <w:jc w:val="right"/>
            </w:pPr>
            <w:r>
              <w:t xml:space="preserve">Unit Price (USD)</w:t>
            </w:r>
          </w:p>
        </w:tc>
        <w:tc>
          <w:tcPr/>
          <w:p>
            <w:pPr>
              <w:pStyle w:val="Compact"/>
              <w:jc w:val="right"/>
            </w:pPr>
            <w:r>
              <w:t xml:space="preserve">Total (USD)</w:t>
            </w:r>
          </w:p>
        </w:tc>
      </w:tr>
      <w:tr>
        <w:tc>
          <w:tcPr/>
          <w:p>
            <w:pPr>
              <w:pStyle w:val="Compact"/>
              <w:jc w:val="left"/>
            </w:pPr>
            <w:r>
              <w:t xml:space="preserve">1</w:t>
            </w:r>
          </w:p>
        </w:tc>
        <w:tc>
          <w:tcPr/>
          <w:p>
            <w:pPr>
              <w:pStyle w:val="Compact"/>
              <w:jc w:val="left"/>
            </w:pPr>
            <w:r>
              <w:t xml:space="preserve">The Economist – Annual Digital Subscription (52 issues), Institutional License for 50 users, Miami office access</w:t>
            </w:r>
          </w:p>
        </w:tc>
        <w:tc>
          <w:tcPr/>
          <w:p>
            <w:pPr>
              <w:pStyle w:val="Compact"/>
              <w:jc w:val="center"/>
            </w:pPr>
            <w:r>
              <w:t xml:space="preserve">50</w:t>
            </w:r>
          </w:p>
        </w:tc>
        <w:tc>
          <w:tcPr/>
          <w:p>
            <w:pPr>
              <w:pStyle w:val="Compact"/>
              <w:jc w:val="right"/>
            </w:pPr>
            <w:r>
              <w:t xml:space="preserve">$149.00</w:t>
            </w:r>
          </w:p>
        </w:tc>
        <w:tc>
          <w:tcPr/>
          <w:p>
            <w:pPr>
              <w:pStyle w:val="Compact"/>
              <w:jc w:val="right"/>
            </w:pPr>
            <w:r>
              <w:t xml:space="preserve">$7,450.00</w:t>
            </w:r>
          </w:p>
        </w:tc>
      </w:tr>
      <w:tr>
        <w:tc>
          <w:tcPr/>
          <w:p>
            <w:pPr>
              <w:pStyle w:val="Compact"/>
              <w:jc w:val="left"/>
            </w:pPr>
            <w:r>
              <w:t xml:space="preserve">2</w:t>
            </w:r>
          </w:p>
        </w:tc>
        <w:tc>
          <w:tcPr/>
          <w:p>
            <w:pPr>
              <w:pStyle w:val="Compact"/>
              <w:jc w:val="left"/>
            </w:pPr>
            <w:r>
              <w:t xml:space="preserve">The Economist – Printed Edition, Annual Subscription (52 weekly issues), delivered to Miami, Florida, United States address</w:t>
            </w:r>
          </w:p>
        </w:tc>
        <w:tc>
          <w:tcPr/>
          <w:p>
            <w:pPr>
              <w:pStyle w:val="Compact"/>
              <w:jc w:val="center"/>
            </w:pPr>
            <w:r>
              <w:t xml:space="preserve">10</w:t>
            </w:r>
          </w:p>
        </w:tc>
        <w:tc>
          <w:tcPr/>
          <w:p>
            <w:pPr>
              <w:pStyle w:val="Compact"/>
              <w:jc w:val="right"/>
            </w:pPr>
            <w:r>
              <w:t xml:space="preserve">$249.00</w:t>
            </w:r>
          </w:p>
        </w:tc>
        <w:tc>
          <w:tcPr/>
          <w:p>
            <w:pPr>
              <w:pStyle w:val="Compact"/>
              <w:jc w:val="right"/>
            </w:pPr>
            <w:r>
              <w:t xml:space="preserve">$2,490.00</w:t>
            </w:r>
          </w:p>
        </w:tc>
      </w:tr>
      <w:tr>
        <w:tc>
          <w:tcPr/>
          <w:p>
            <w:pPr>
              <w:pStyle w:val="Compact"/>
              <w:jc w:val="left"/>
            </w:pPr>
            <w:r>
              <w:t xml:space="preserve">3</w:t>
            </w:r>
          </w:p>
        </w:tc>
        <w:tc>
          <w:tcPr/>
          <w:p>
            <w:pPr>
              <w:pStyle w:val="Compact"/>
              <w:jc w:val="left"/>
            </w:pPr>
            <w:r>
              <w:t xml:space="preserve">The Economist – "The World in Data" Annual Report, 2025 Edition, hardcover, 250 copies for distribution to clients in Miami, United States</w:t>
            </w:r>
          </w:p>
        </w:tc>
        <w:tc>
          <w:tcPr/>
          <w:p>
            <w:pPr>
              <w:pStyle w:val="Compact"/>
              <w:jc w:val="center"/>
            </w:pPr>
            <w:r>
              <w:t xml:space="preserve">250</w:t>
            </w:r>
          </w:p>
        </w:tc>
        <w:tc>
          <w:tcPr/>
          <w:p>
            <w:pPr>
              <w:pStyle w:val="Compact"/>
              <w:jc w:val="right"/>
            </w:pPr>
            <w:r>
              <w:t xml:space="preserve">$35.00</w:t>
            </w:r>
          </w:p>
        </w:tc>
        <w:tc>
          <w:tcPr/>
          <w:p>
            <w:pPr>
              <w:pStyle w:val="Compact"/>
              <w:jc w:val="right"/>
            </w:pPr>
            <w:r>
              <w:t xml:space="preserve">$8,750.00</w:t>
            </w:r>
          </w:p>
        </w:tc>
      </w:tr>
      <w:tr>
        <w:tc>
          <w:tcPr/>
          <w:p>
            <w:pPr>
              <w:pStyle w:val="Compact"/>
              <w:jc w:val="left"/>
            </w:pPr>
            <w:r>
              <w:t xml:space="preserve">4</w:t>
            </w:r>
          </w:p>
        </w:tc>
        <w:tc>
          <w:tcPr/>
          <w:p>
            <w:pPr>
              <w:pStyle w:val="Compact"/>
              <w:jc w:val="left"/>
            </w:pPr>
            <w:r>
              <w:t xml:space="preserve">The Economist – Custom Economic Briefing Service: quarterly analysis of Latin American trade corridors relevant to Miami, United States markets (4 briefings per year)</w:t>
            </w:r>
          </w:p>
        </w:tc>
        <w:tc>
          <w:tcPr/>
          <w:p>
            <w:pPr>
              <w:pStyle w:val="Compact"/>
              <w:jc w:val="center"/>
            </w:pPr>
            <w:r>
              <w:t xml:space="preserve">4</w:t>
            </w:r>
          </w:p>
        </w:tc>
        <w:tc>
          <w:tcPr/>
          <w:p>
            <w:pPr>
              <w:pStyle w:val="Compact"/>
              <w:jc w:val="right"/>
            </w:pPr>
            <w:r>
              <w:t xml:space="preserve">$2,500.00</w:t>
            </w:r>
          </w:p>
        </w:tc>
        <w:tc>
          <w:tcPr/>
          <w:p>
            <w:pPr>
              <w:pStyle w:val="Compact"/>
              <w:jc w:val="right"/>
            </w:pPr>
            <w:r>
              <w:t xml:space="preserve">$10,000.00</w:t>
            </w:r>
          </w:p>
        </w:tc>
      </w:tr>
      <w:tr>
        <w:tc>
          <w:tcPr/>
          <w:p>
            <w:pPr>
              <w:pStyle w:val="Compact"/>
              <w:jc w:val="left"/>
            </w:pPr>
            <w:r>
              <w:t xml:space="preserve">5</w:t>
            </w:r>
          </w:p>
        </w:tc>
        <w:tc>
          <w:tcPr/>
          <w:p>
            <w:pPr>
              <w:pStyle w:val="Compact"/>
              <w:jc w:val="left"/>
            </w:pPr>
            <w:r>
              <w:t xml:space="preserve">The Economist – Access to Economist Intelligence Unit (EIU) country risk reports for 12 selected nations, one-year license, Miami-based analyst team</w:t>
            </w:r>
          </w:p>
        </w:tc>
        <w:tc>
          <w:tcPr/>
          <w:p>
            <w:pPr>
              <w:pStyle w:val="Compact"/>
              <w:jc w:val="center"/>
            </w:pPr>
            <w:r>
              <w:t xml:space="preserve">1</w:t>
            </w:r>
          </w:p>
        </w:tc>
        <w:tc>
          <w:tcPr/>
          <w:p>
            <w:pPr>
              <w:pStyle w:val="Compact"/>
              <w:jc w:val="right"/>
            </w:pPr>
            <w:r>
              <w:t xml:space="preserve">$18,500.00</w:t>
            </w:r>
          </w:p>
        </w:tc>
        <w:tc>
          <w:tcPr/>
          <w:p>
            <w:pPr>
              <w:pStyle w:val="Compact"/>
              <w:jc w:val="right"/>
            </w:pPr>
            <w:r>
              <w:t xml:space="preserve">$18,500.00</w:t>
            </w:r>
          </w:p>
        </w:tc>
      </w:tr>
      <w:tr>
        <w:tc>
          <w:tcPr/>
          <w:p>
            <w:pPr>
              <w:pStyle w:val="Compact"/>
              <w:jc w:val="left"/>
            </w:pPr>
            <w:r>
              <w:t xml:space="preserve">6</w:t>
            </w:r>
          </w:p>
        </w:tc>
        <w:tc>
          <w:tcPr/>
          <w:p>
            <w:pPr>
              <w:pStyle w:val="Compact"/>
              <w:jc w:val="left"/>
            </w:pPr>
            <w:r>
              <w:t xml:space="preserve">The Economist – Annual Subscription to "The Economist Podcasts+" for 25 employees, Miami office, United States</w:t>
            </w:r>
          </w:p>
        </w:tc>
        <w:tc>
          <w:tcPr/>
          <w:p>
            <w:pPr>
              <w:pStyle w:val="Compact"/>
              <w:jc w:val="center"/>
            </w:pPr>
            <w:r>
              <w:t xml:space="preserve">25</w:t>
            </w:r>
          </w:p>
        </w:tc>
        <w:tc>
          <w:tcPr/>
          <w:p>
            <w:pPr>
              <w:pStyle w:val="Compact"/>
              <w:jc w:val="right"/>
            </w:pPr>
            <w:r>
              <w:t xml:space="preserve">$89.00</w:t>
            </w:r>
          </w:p>
        </w:tc>
        <w:tc>
          <w:tcPr/>
          <w:p>
            <w:pPr>
              <w:pStyle w:val="Compact"/>
              <w:jc w:val="right"/>
            </w:pPr>
            <w:r>
              <w:t xml:space="preserve">$2,225.00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$49,415.00</w:t>
            </w:r>
          </w:p>
        </w:tc>
      </w:tr>
      <w:tr>
        <w:tc>
          <w:tcPr/>
          <w:p>
            <w:pPr>
              <w:pStyle w:val="Compact"/>
              <w:jc w:val="left"/>
            </w:pPr>
            <w:r>
              <w:t xml:space="preserve">Applicable Sales Tax (Florida, United States – 6.5%):</w:t>
            </w:r>
          </w:p>
        </w:tc>
        <w:tc>
          <w:tcPr/>
          <w:p>
            <w:pPr>
              <w:pStyle w:val="Compact"/>
              <w:jc w:val="right"/>
            </w:pPr>
            <w:r>
              <w:t xml:space="preserve">$3,211.98</w:t>
            </w:r>
          </w:p>
        </w:tc>
      </w:tr>
      <w:tr>
        <w:tc>
          <w:tcPr/>
          <w:p>
            <w:pPr>
              <w:pStyle w:val="Compact"/>
              <w:jc w:val="left"/>
            </w:pPr>
            <w:r>
              <w:t xml:space="preserve">Shipping and Handling (Miami, United States):</w:t>
            </w:r>
          </w:p>
        </w:tc>
        <w:tc>
          <w:tcPr/>
          <w:p>
            <w:pPr>
              <w:pStyle w:val="Compact"/>
              <w:jc w:val="right"/>
            </w:pPr>
            <w:r>
              <w:t xml:space="preserve">$385.00</w:t>
            </w:r>
          </w:p>
        </w:tc>
      </w:tr>
      <w:tr>
        <w:tc>
          <w:tcPr/>
          <w:p>
            <w:pPr>
              <w:pStyle w:val="Compact"/>
              <w:jc w:val="left"/>
            </w:pPr>
            <w:r>
              <w:t xml:space="preserve">TOTAL AMOUNT DUE:</w:t>
            </w:r>
          </w:p>
        </w:tc>
        <w:tc>
          <w:tcPr/>
          <w:p>
            <w:pPr>
              <w:pStyle w:val="Compact"/>
              <w:jc w:val="right"/>
            </w:pPr>
            <w:r>
              <w:t xml:space="preserve">$53,011.98</w:t>
            </w:r>
          </w:p>
        </w:tc>
      </w:tr>
    </w:tbl>
    <w:bookmarkEnd w:id="23"/>
    <w:bookmarkStart w:id="24" w:name="terms-and-conditions"/>
    <w:p>
      <w:pPr>
        <w:pStyle w:val="Heading2"/>
      </w:pPr>
      <w:r>
        <w:t xml:space="preserve">Terms and Conditions</w:t>
      </w:r>
    </w:p>
    <w:p>
      <w:pPr>
        <w:numPr>
          <w:ilvl w:val="0"/>
          <w:numId w:val="1001"/>
        </w:numPr>
        <w:pStyle w:val="Compact"/>
      </w:pPr>
      <w:r>
        <w:t xml:space="preserve">This Purchase Order constitutes a binding agreement between Miami Atlantic Economic Research Group, LLC (hereinafter "Buyer"), located in Miami, Florida, United States, and The Economist Group, Inc. (hereinafter "Seller"), for the procurement of The Economist publications, digital access licenses, and associated economic advisory services as itemized above.</w:t>
      </w:r>
    </w:p>
    <w:p>
      <w:pPr>
        <w:numPr>
          <w:ilvl w:val="0"/>
          <w:numId w:val="1001"/>
        </w:numPr>
        <w:pStyle w:val="Compact"/>
      </w:pPr>
      <w:r>
        <w:t xml:space="preserve">All printed materials, including The Economist weekly issues and the "The World in Data" annual report, shall be delivered to the Buyer's registered office at 1200 Brickell Avenue, Suite 2400, Miami, Florida 33131, United States. Delivery shall be completed no later than July 1, 2025, via a carrier approved by the Buyer. All shipping costs are included in the Purchase Order total.</w:t>
      </w:r>
    </w:p>
    <w:p>
      <w:pPr>
        <w:numPr>
          <w:ilvl w:val="0"/>
          <w:numId w:val="1001"/>
        </w:numPr>
        <w:pStyle w:val="Compact"/>
      </w:pPr>
      <w:r>
        <w:t xml:space="preserve">Digital subscriptions and Economist Intelligence Unit access licenses shall be activated within five (5) business days of receipt of this Purchase Order. Access credentials shall be delivered electronically to the designated procurement email address in Miami, United States.</w:t>
      </w:r>
    </w:p>
    <w:p>
      <w:pPr>
        <w:numPr>
          <w:ilvl w:val="0"/>
          <w:numId w:val="1001"/>
        </w:numPr>
        <w:pStyle w:val="Compact"/>
      </w:pPr>
      <w:r>
        <w:t xml:space="preserve">Payment shall be made in United States Dollars (USD) via wire transfer to the Seller's designated bank account within thirty (30) calendar days of the invoice date. Late payments shall accrue interest at a rate of 1.5% per month, in accordance with commercial practices in the United States.</w:t>
      </w:r>
    </w:p>
    <w:p>
      <w:pPr>
        <w:numPr>
          <w:ilvl w:val="0"/>
          <w:numId w:val="1001"/>
        </w:numPr>
        <w:pStyle w:val="Compact"/>
      </w:pPr>
      <w:r>
        <w:t xml:space="preserve">The Seller warrants that all copies of The Economist publications are authentic, legally produced, and free from any intellectual property encumbrances. The Seller shall indemnify the Buyer against any third-party claims arising from the materials supplied under this Purchase Order.</w:t>
      </w:r>
    </w:p>
    <w:p>
      <w:pPr>
        <w:numPr>
          <w:ilvl w:val="0"/>
          <w:numId w:val="1001"/>
        </w:numPr>
        <w:pStyle w:val="Compact"/>
      </w:pPr>
      <w:r>
        <w:t xml:space="preserve">Any modifications to this Purchase Order, including changes to quantities, delivery schedules, or service scope, must be made in writing and signed by authorized representatives of both parties. Verbal agreements shall not be enforceable.</w:t>
      </w:r>
    </w:p>
    <w:p>
      <w:pPr>
        <w:numPr>
          <w:ilvl w:val="0"/>
          <w:numId w:val="1001"/>
        </w:numPr>
        <w:pStyle w:val="Compact"/>
      </w:pPr>
      <w:r>
        <w:t xml:space="preserve">This Purchase Order shall be governed by and construed in accordance with the laws of the State of Florida, United States, and the applicable federal laws of the United States. Any disputes arising from this Purchase Order shall be resolved through binding arbitration in Miami, Florida, United States, in accordance with the rules of the American Arbitration Association.</w:t>
      </w:r>
    </w:p>
    <w:p>
      <w:pPr>
        <w:numPr>
          <w:ilvl w:val="0"/>
          <w:numId w:val="1001"/>
        </w:numPr>
        <w:pStyle w:val="Compact"/>
      </w:pPr>
      <w:r>
        <w:t xml:space="preserve">The Seller shall maintain all data and access records related to this Purchase Order for a minimum period of seven (7) years, in compliance with United States federal record-keeping regulations. Upon request, the Seller shall provide the Buyer with a complete audit trail of all services rendered.</w:t>
      </w:r>
    </w:p>
    <w:p>
      <w:pPr>
        <w:numPr>
          <w:ilvl w:val="0"/>
          <w:numId w:val="1001"/>
        </w:numPr>
        <w:pStyle w:val="Compact"/>
      </w:pPr>
      <w:r>
        <w:t xml:space="preserve">This Purchase Order is valid for acceptance until July 12, 2025. If the Seller does not confirm acceptance in writing by this date, the Buyer reserves the right to cancel this Purchase Order without penalty and to seek equivalent services from an alternative provider.</w:t>
      </w:r>
    </w:p>
    <w:bookmarkEnd w:id="24"/>
    <w:bookmarkStart w:id="25" w:name="authorization-and-acceptance"/>
    <w:p>
      <w:pPr>
        <w:pStyle w:val="Heading2"/>
      </w:pPr>
      <w:r>
        <w:t xml:space="preserve">Authorization and Acceptance</w:t>
      </w:r>
    </w:p>
    <w:tbl>
      <w:tblPr>
        <w:tblStyle w:val="Table"/>
        <w:tblW w:type="pct" w:w="5000"/>
        <w:tblLook w:firstRow="0" w:lastRow="0" w:firstColumn="0" w:lastColumn="0" w:noHBand="0" w:noVBand="0" w:val="0000"/>
      </w:tblPr>
      <w:tblGrid>
        <w:gridCol w:w="3960"/>
        <w:gridCol w:w="3960"/>
      </w:tblGrid>
      <w:tr>
        <w:tc>
          <w:tcPr/>
          <w:p>
            <w:pPr>
              <w:jc w:val="left"/>
            </w:pPr>
            <w:r>
              <w:t xml:space="preserve">Prepared and Authorized by (Buyer):</w:t>
            </w:r>
          </w:p>
          <w:p>
            <w:pPr>
              <w:jc w:val="left"/>
            </w:pPr>
            <w:r>
              <w:t xml:space="preserve">Daniel R. Castellanos</w:t>
            </w:r>
          </w:p>
          <w:p>
            <w:pPr>
              <w:jc w:val="left"/>
            </w:pPr>
            <w:r>
              <w:t xml:space="preserve">Director of Procurement, Miami Atlantic Economic Research Group, LLC</w:t>
            </w:r>
          </w:p>
          <w:p>
            <w:pPr>
              <w:jc w:val="left"/>
            </w:pPr>
            <w:r>
              <w:t xml:space="preserve">Date: ______________________</w:t>
            </w:r>
          </w:p>
        </w:tc>
        <w:tc>
          <w:tcPr/>
          <w:p>
            <w:pPr>
              <w:jc w:val="left"/>
            </w:pPr>
            <w:r>
              <w:t xml:space="preserve">Accepted by (Seller):</w:t>
            </w:r>
          </w:p>
          <w:p>
            <w:pPr>
              <w:jc w:val="left"/>
            </w:pPr>
            <w:r>
              <w:t xml:space="preserve">Patricia L. Whitmore</w:t>
            </w:r>
          </w:p>
          <w:p>
            <w:pPr>
              <w:jc w:val="left"/>
            </w:pPr>
            <w:r>
              <w:t xml:space="preserve">Regional Sales Manager, The Economist Group, Inc.</w:t>
            </w:r>
          </w:p>
          <w:p>
            <w:pPr>
              <w:jc w:val="left"/>
            </w:pPr>
            <w:r>
              <w:t xml:space="preserve">Date: ______________________</w:t>
            </w:r>
          </w:p>
        </w:tc>
      </w:tr>
    </w:tbl>
    <w:p>
      <w:pPr>
        <w:pStyle w:val="BodyText"/>
      </w:pPr>
      <w:r>
        <w:rPr>
          <w:bCs/>
          <w:b/>
        </w:rPr>
        <w:t xml:space="preserve">Document Reference:</w:t>
      </w:r>
      <w:r>
        <w:t xml:space="preserve"> </w:t>
      </w:r>
      <w:r>
        <w:t xml:space="preserve">PO-MIA-2025-04471 |</w:t>
      </w:r>
      <w:r>
        <w:t xml:space="preserve"> </w:t>
      </w:r>
      <w:r>
        <w:rPr>
          <w:bCs/>
          <w:b/>
        </w:rPr>
        <w:t xml:space="preserve">Classification:</w:t>
      </w:r>
      <w:r>
        <w:t xml:space="preserve"> </w:t>
      </w:r>
      <w:r>
        <w:t xml:space="preserve">Internal – Procurement |</w:t>
      </w:r>
      <w:r>
        <w:t xml:space="preserve"> </w:t>
      </w:r>
      <w:r>
        <w:rPr>
          <w:bCs/>
          <w:b/>
        </w:rPr>
        <w:t xml:space="preserve">Region:</w:t>
      </w:r>
      <w:r>
        <w:t xml:space="preserve"> </w:t>
      </w:r>
      <w:r>
        <w:t xml:space="preserve">Miami, Florida, United States</w:t>
      </w:r>
    </w:p>
    <w:p>
      <w:pPr>
        <w:pStyle w:val="BodyText"/>
      </w:pPr>
      <w:r>
        <w:t xml:space="preserve">This Purchase Order was generated in accordance with the internal procurement policies of Miami Atlantic Economic Research Group, LLC. All references to The Economist publications and services are subject to the terms of the respective subscription agreements. This document is valid only for transactions conducted within the jurisdiction of the United States, with primary operations based in Miami, Florida.</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The Economist Subscriptions and Economic Services</dc:title>
  <dc:creator/>
  <dc:language>en</dc:language>
  <cp:keywords/>
  <dcterms:created xsi:type="dcterms:W3CDTF">2026-10-10T02:03:16Z</dcterms:created>
  <dcterms:modified xsi:type="dcterms:W3CDTF">2026-10-10T02:03:16Z</dcterms:modified>
</cp:coreProperties>
</file>

<file path=docProps/custom.xml><?xml version="1.0" encoding="utf-8"?>
<Properties xmlns="http://schemas.openxmlformats.org/officeDocument/2006/custom-properties" xmlns:vt="http://schemas.openxmlformats.org/officeDocument/2006/docPropsVTypes"/>
</file>