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The</w:t>
      </w:r>
      <w:r>
        <w:t xml:space="preserve"> </w:t>
      </w:r>
      <w:r>
        <w:t xml:space="preserve">Economist</w:t>
      </w:r>
      <w:r>
        <w:t xml:space="preserve"> </w:t>
      </w:r>
      <w:r>
        <w:t xml:space="preserve">Subscriptions</w:t>
      </w:r>
      <w:r>
        <w:t xml:space="preserve"> </w:t>
      </w:r>
      <w:r>
        <w:t xml:space="preserve">and</w:t>
      </w:r>
      <w:r>
        <w:t xml:space="preserve"> </w:t>
      </w:r>
      <w:r>
        <w:t xml:space="preserve">Economic</w:t>
      </w:r>
      <w:r>
        <w:t xml:space="preserve"> </w:t>
      </w:r>
      <w:r>
        <w:t xml:space="preserve">Research</w:t>
      </w:r>
      <w:r>
        <w:t xml:space="preserve"> </w:t>
      </w:r>
      <w:r>
        <w:t xml:space="preserve">Services</w:t>
      </w:r>
    </w:p>
    <w:bookmarkStart w:id="20" w:name="purchase-order"/>
    <w:p>
      <w:pPr>
        <w:pStyle w:val="Heading1"/>
      </w:pPr>
      <w:r>
        <w:t xml:space="preserve">PURCHASE ORDER</w:t>
      </w:r>
    </w:p>
    <w:p>
      <w:pPr>
        <w:pStyle w:val="FirstParagraph"/>
      </w:pPr>
      <w:r>
        <w:t xml:space="preserve">The Economist Magazine Subscriptions &amp; Economic Research Services</w:t>
      </w:r>
    </w:p>
    <w:p>
      <w:pPr>
        <w:pStyle w:val="BodyText"/>
      </w:pPr>
      <w:r>
        <w:rPr>
          <w:bCs/>
          <w:b/>
        </w:rPr>
        <w:t xml:space="preserve">Purchase Order No.:</w:t>
      </w:r>
      <w:r>
        <w:t xml:space="preserve"> </w:t>
      </w:r>
      <w:r>
        <w:t xml:space="preserve">PO-SF-2025-04872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Incoterms:</w:t>
      </w:r>
      <w:r>
        <w:t xml:space="preserve"> </w:t>
      </w:r>
      <w:r>
        <w:t xml:space="preserve">DDP (Delivered Duty Paid)</w:t>
      </w:r>
      <w:r>
        <w:br/>
      </w:r>
      <w:r>
        <w:rPr>
          <w:bCs/>
          <w:b/>
        </w:rPr>
        <w:t xml:space="preserve">Currency:</w:t>
      </w:r>
      <w:r>
        <w:t xml:space="preserve"> </w:t>
      </w:r>
      <w:r>
        <w:t xml:space="preserve">USD (United States Dollar)</w:t>
      </w:r>
    </w:p>
    <w:bookmarkEnd w:id="20"/>
    <w:bookmarkStart w:id="23" w:name="parties-to-this-purchase-order"/>
    <w:p>
      <w:pPr>
        <w:pStyle w:val="Heading2"/>
      </w:pPr>
      <w:r>
        <w:t xml:space="preserve">1. Parties to This Purchase Order</w:t>
      </w:r>
    </w:p>
    <w:bookmarkStart w:id="21" w:name="buyer-purchasing-entity"/>
    <w:p>
      <w:pPr>
        <w:pStyle w:val="Heading3"/>
      </w:pPr>
      <w:r>
        <w:t xml:space="preserve">Buyer (Purchasing Entity)</w:t>
      </w:r>
    </w:p>
    <w:p>
      <w:pPr>
        <w:pStyle w:val="FirstParagraph"/>
      </w:pPr>
      <w:r>
        <w:rPr>
          <w:bCs/>
          <w:b/>
        </w:rPr>
        <w:t xml:space="preserve">Golden Gate Analytics &amp; Advisory Group, Inc.</w:t>
      </w:r>
      <w:r>
        <w:br/>
      </w:r>
      <w:r>
        <w:t xml:space="preserve">1455 Market Street, Suite 2800</w:t>
      </w:r>
      <w:r>
        <w:br/>
      </w:r>
      <w:r>
        <w:t xml:space="preserve">San Francisco, California 94103</w:t>
      </w:r>
      <w:r>
        <w:br/>
      </w:r>
      <w:r>
        <w:t xml:space="preserve">United States of America</w:t>
      </w:r>
      <w:r>
        <w:br/>
      </w:r>
      <w:r>
        <w:t xml:space="preserve">Tax ID (EIN): 94-2847561</w:t>
      </w:r>
      <w:r>
        <w:br/>
      </w:r>
      <w:r>
        <w:t xml:space="preserve">Contact: Margaret Chen, Director of Procurement</w:t>
      </w:r>
      <w:r>
        <w:br/>
      </w:r>
      <w:r>
        <w:t xml:space="preserve">Email: m.chen@gga-advisory.com</w:t>
      </w:r>
      <w:r>
        <w:br/>
      </w:r>
      <w:r>
        <w:t xml:space="preserve">Phone: +1 (415) 555-0192</w:t>
      </w:r>
    </w:p>
    <w:bookmarkEnd w:id="21"/>
    <w:bookmarkStart w:id="22" w:name="seller-supplier"/>
    <w:p>
      <w:pPr>
        <w:pStyle w:val="Heading3"/>
      </w:pPr>
      <w:r>
        <w:t xml:space="preserve">Seller (Supplier)</w:t>
      </w:r>
    </w:p>
    <w:p>
      <w:pPr>
        <w:pStyle w:val="FirstParagraph"/>
      </w:pPr>
      <w:r>
        <w:rPr>
          <w:bCs/>
          <w:b/>
        </w:rPr>
        <w:t xml:space="preserve">The Economist Media Group, North American Division</w:t>
      </w:r>
      <w:r>
        <w:br/>
      </w:r>
      <w:r>
        <w:t xml:space="preserve">200 West 34th Street, 12th Floor</w:t>
      </w:r>
      <w:r>
        <w:br/>
      </w:r>
      <w:r>
        <w:t xml:space="preserve">New York, New York 10001</w:t>
      </w:r>
      <w:r>
        <w:br/>
      </w:r>
      <w:r>
        <w:t xml:space="preserve">United States of America</w:t>
      </w:r>
      <w:r>
        <w:br/>
      </w:r>
      <w:r>
        <w:t xml:space="preserve">Tax ID (EIN): 13-5567890</w:t>
      </w:r>
      <w:r>
        <w:br/>
      </w:r>
      <w:r>
        <w:t xml:space="preserve">Contact: David Hartley, Regional Sales Manager</w:t>
      </w:r>
      <w:r>
        <w:br/>
      </w:r>
      <w:r>
        <w:t xml:space="preserve">Email: d.hartley@economistmedia.com</w:t>
      </w:r>
      <w:r>
        <w:br/>
      </w:r>
      <w:r>
        <w:t xml:space="preserve">Phone: +1 (212) 555-0347</w:t>
      </w:r>
    </w:p>
    <w:bookmarkEnd w:id="22"/>
    <w:bookmarkEnd w:id="23"/>
    <w:bookmarkStart w:id="24" w:name="description-of-goods-and-services"/>
    <w:p>
      <w:pPr>
        <w:pStyle w:val="Heading2"/>
      </w:pPr>
      <w:r>
        <w:t xml:space="preserve">2. Description of Goods and Services</w:t>
      </w:r>
    </w:p>
    <w:p>
      <w:pPr>
        <w:pStyle w:val="FirstParagraph"/>
      </w:pPr>
      <w:r>
        <w:t xml:space="preserve">This</w:t>
      </w:r>
      <w:r>
        <w:t xml:space="preserve"> </w:t>
      </w:r>
      <w:r>
        <w:t xml:space="preserve">Purchase Order</w:t>
      </w:r>
      <w:r>
        <w:t xml:space="preserve"> </w:t>
      </w:r>
      <w:r>
        <w:t xml:space="preserve">is issued by Golden Gate Analytics &amp; Advisory Group, Inc., a financial research and consulting firm headquartered in</w:t>
      </w:r>
      <w:r>
        <w:t xml:space="preserve"> </w:t>
      </w:r>
      <w:r>
        <w:t xml:space="preserve">San Francisco, United States</w:t>
      </w:r>
      <w:r>
        <w:t xml:space="preserve">, for the procurement of</w:t>
      </w:r>
      <w:r>
        <w:t xml:space="preserve"> </w:t>
      </w:r>
      <w:r>
        <w:t xml:space="preserve">Economist</w:t>
      </w:r>
      <w:r>
        <w:t xml:space="preserve"> </w:t>
      </w:r>
      <w:r>
        <w:t xml:space="preserve">magazine subscriptions, digital access licenses, and associated economic research services. The following line items constitute the complete scope of this transaction: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001</w:t>
            </w:r>
          </w:p>
        </w:tc>
        <w:tc>
          <w:tcPr/>
          <w:p>
            <w:pPr>
              <w:pStyle w:val="Compact"/>
              <w:jc w:val="left"/>
            </w:pPr>
            <w:r>
              <w:t xml:space="preserve">The Economist – Annual Print Subscription (12 issues), delivered to San Francisco, United States office</w:t>
            </w:r>
          </w:p>
        </w:tc>
        <w:tc>
          <w:tcPr/>
          <w:p>
            <w:pPr>
              <w:pStyle w:val="Compact"/>
              <w:jc w:val="left"/>
            </w:pPr>
            <w:r>
              <w:t xml:space="preserve">25</w:t>
            </w:r>
          </w:p>
        </w:tc>
        <w:tc>
          <w:tcPr/>
          <w:p>
            <w:pPr>
              <w:pStyle w:val="Compact"/>
              <w:jc w:val="left"/>
            </w:pPr>
            <w:r>
              <w:t xml:space="preserve">$149.00</w:t>
            </w:r>
          </w:p>
        </w:tc>
        <w:tc>
          <w:tcPr/>
          <w:p>
            <w:pPr>
              <w:pStyle w:val="Compact"/>
              <w:jc w:val="left"/>
            </w:pPr>
            <w:r>
              <w:t xml:space="preserve">$3,725.00</w:t>
            </w:r>
          </w:p>
        </w:tc>
      </w:tr>
      <w:tr>
        <w:tc>
          <w:tcPr/>
          <w:p>
            <w:pPr>
              <w:pStyle w:val="Compact"/>
              <w:jc w:val="left"/>
            </w:pPr>
            <w:r>
              <w:t xml:space="preserve">002</w:t>
            </w:r>
          </w:p>
        </w:tc>
        <w:tc>
          <w:tcPr/>
          <w:p>
            <w:pPr>
              <w:pStyle w:val="Compact"/>
              <w:jc w:val="left"/>
            </w:pPr>
            <w:r>
              <w:t xml:space="preserve">The Economist – Digital Access License (Economist.com full archive + daily digital edition), 12-month term</w:t>
            </w:r>
          </w:p>
        </w:tc>
        <w:tc>
          <w:tcPr/>
          <w:p>
            <w:pPr>
              <w:pStyle w:val="Compact"/>
              <w:jc w:val="left"/>
            </w:pPr>
            <w:r>
              <w:t xml:space="preserve">50</w:t>
            </w:r>
          </w:p>
        </w:tc>
        <w:tc>
          <w:tcPr/>
          <w:p>
            <w:pPr>
              <w:pStyle w:val="Compact"/>
              <w:jc w:val="left"/>
            </w:pPr>
            <w:r>
              <w:t xml:space="preserve">$99.00</w:t>
            </w:r>
          </w:p>
        </w:tc>
        <w:tc>
          <w:tcPr/>
          <w:p>
            <w:pPr>
              <w:pStyle w:val="Compact"/>
              <w:jc w:val="left"/>
            </w:pPr>
            <w:r>
              <w:t xml:space="preserve">$4,950.00</w:t>
            </w:r>
          </w:p>
        </w:tc>
      </w:tr>
      <w:tr>
        <w:tc>
          <w:tcPr/>
          <w:p>
            <w:pPr>
              <w:pStyle w:val="Compact"/>
              <w:jc w:val="left"/>
            </w:pPr>
            <w:r>
              <w:t xml:space="preserve">003</w:t>
            </w:r>
          </w:p>
        </w:tc>
        <w:tc>
          <w:tcPr/>
          <w:p>
            <w:pPr>
              <w:pStyle w:val="Compact"/>
              <w:jc w:val="left"/>
            </w:pPr>
            <w:r>
              <w:t xml:space="preserve">The Economist – "Economist Intelligence Unit" (EIU) Country Risk Reports: United States, San Francisco Bay Area Economic Outlook 2025–2026</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004</w:t>
            </w:r>
          </w:p>
        </w:tc>
        <w:tc>
          <w:tcPr/>
          <w:p>
            <w:pPr>
              <w:pStyle w:val="Compact"/>
              <w:jc w:val="left"/>
            </w:pPr>
            <w:r>
              <w:t xml:space="preserve">The Economist – Custom Economic Briefing Service: Quarterly macroeconomic analysis tailored to San Francisco, United States technology and financial sectors</w:t>
            </w:r>
          </w:p>
        </w:tc>
        <w:tc>
          <w:tcPr/>
          <w:p>
            <w:pPr>
              <w:pStyle w:val="Compact"/>
              <w:jc w:val="left"/>
            </w:pPr>
            <w:r>
              <w:t xml:space="preserve">4</w:t>
            </w:r>
          </w:p>
        </w:tc>
        <w:tc>
          <w:tcPr/>
          <w:p>
            <w:pPr>
              <w:pStyle w:val="Compact"/>
              <w:jc w:val="left"/>
            </w:pPr>
            <w:r>
              <w:t xml:space="preserve">$1,850.00</w:t>
            </w:r>
          </w:p>
        </w:tc>
        <w:tc>
          <w:tcPr/>
          <w:p>
            <w:pPr>
              <w:pStyle w:val="Compact"/>
              <w:jc w:val="left"/>
            </w:pPr>
            <w:r>
              <w:t xml:space="preserve">$7,400.00</w:t>
            </w:r>
          </w:p>
        </w:tc>
      </w:tr>
      <w:tr>
        <w:tc>
          <w:tcPr/>
          <w:p>
            <w:pPr>
              <w:pStyle w:val="Compact"/>
              <w:jc w:val="left"/>
            </w:pPr>
            <w:r>
              <w:t xml:space="preserve">005</w:t>
            </w:r>
          </w:p>
        </w:tc>
        <w:tc>
          <w:tcPr/>
          <w:p>
            <w:pPr>
              <w:pStyle w:val="Compact"/>
              <w:jc w:val="left"/>
            </w:pPr>
            <w:r>
              <w:t xml:space="preserve">The Economist – Conference Pass: "The Economist Annual Economic Summit 2025," San Francisco, United States (3-day pass with keynote access)</w:t>
            </w:r>
          </w:p>
        </w:tc>
        <w:tc>
          <w:tcPr/>
          <w:p>
            <w:pPr>
              <w:pStyle w:val="Compact"/>
              <w:jc w:val="left"/>
            </w:pPr>
            <w:r>
              <w:t xml:space="preserve">6</w:t>
            </w:r>
          </w:p>
        </w:tc>
        <w:tc>
          <w:tcPr/>
          <w:p>
            <w:pPr>
              <w:pStyle w:val="Compact"/>
              <w:jc w:val="left"/>
            </w:pPr>
            <w:r>
              <w:t xml:space="preserve">$2,100.00</w:t>
            </w:r>
          </w:p>
        </w:tc>
        <w:tc>
          <w:tcPr/>
          <w:p>
            <w:pPr>
              <w:pStyle w:val="Compact"/>
              <w:jc w:val="left"/>
            </w:pPr>
            <w:r>
              <w:t xml:space="preserve">$12,600.00</w:t>
            </w:r>
          </w:p>
        </w:tc>
      </w:tr>
      <w:tr>
        <w:tc>
          <w:tcPr/>
          <w:p>
            <w:pPr>
              <w:pStyle w:val="Compact"/>
              <w:jc w:val="left"/>
            </w:pPr>
            <w:r>
              <w:t xml:space="preserve">006</w:t>
            </w:r>
          </w:p>
        </w:tc>
        <w:tc>
          <w:tcPr/>
          <w:p>
            <w:pPr>
              <w:pStyle w:val="Compact"/>
              <w:jc w:val="left"/>
            </w:pPr>
            <w:r>
              <w:t xml:space="preserve">The Economist – White Paper: "The Future of the San Francisco, United States Economy: Post-2025 Projections"</w:t>
            </w:r>
          </w:p>
        </w:tc>
        <w:tc>
          <w:tcPr/>
          <w:p>
            <w:pPr>
              <w:pStyle w:val="Compact"/>
              <w:jc w:val="left"/>
            </w:pPr>
            <w:r>
              <w:t xml:space="preserve">10</w:t>
            </w:r>
          </w:p>
        </w:tc>
        <w:tc>
          <w:tcPr/>
          <w:p>
            <w:pPr>
              <w:pStyle w:val="Compact"/>
              <w:jc w:val="left"/>
            </w:pPr>
            <w:r>
              <w:t xml:space="preserve">$350.00</w:t>
            </w:r>
          </w:p>
        </w:tc>
        <w:tc>
          <w:tcPr/>
          <w:p>
            <w:pPr>
              <w:pStyle w:val="Compact"/>
              <w:jc w:val="left"/>
            </w:pPr>
            <w:r>
              <w:t xml:space="preserve">$3,500.00</w:t>
            </w:r>
          </w:p>
        </w:tc>
      </w:tr>
      <w:tr>
        <w:tc>
          <w:tcPr>
            <w:gridSpan w:val="4"/>
          </w:tcPr>
          <w:p>
            <w:pPr>
              <w:pStyle w:val="Compact"/>
              <w:jc w:val="left"/>
            </w:pPr>
            <w:r>
              <w:t xml:space="preserve">Subtotal</w:t>
            </w:r>
          </w:p>
        </w:tc>
        <w:tc>
          <w:tcPr/>
          <w:p>
            <w:pPr>
              <w:pStyle w:val="Compact"/>
              <w:jc w:val="left"/>
            </w:pPr>
            <w:r>
              <w:t xml:space="preserve">$36,375.00</w:t>
            </w:r>
          </w:p>
        </w:tc>
      </w:tr>
      <w:tr>
        <w:tc>
          <w:tcPr>
            <w:gridSpan w:val="4"/>
          </w:tcPr>
          <w:p>
            <w:pPr>
              <w:pStyle w:val="Compact"/>
              <w:jc w:val="left"/>
            </w:pPr>
            <w:r>
              <w:t xml:space="preserve">Applicable Sales Tax (California, San Francisco – 8.625%)</w:t>
            </w:r>
          </w:p>
        </w:tc>
        <w:tc>
          <w:tcPr/>
          <w:p>
            <w:pPr>
              <w:pStyle w:val="Compact"/>
              <w:jc w:val="left"/>
            </w:pPr>
            <w:r>
              <w:t xml:space="preserve">$3,137.38</w:t>
            </w:r>
          </w:p>
        </w:tc>
      </w:tr>
      <w:tr>
        <w:tc>
          <w:tcPr>
            <w:gridSpan w:val="4"/>
          </w:tcPr>
          <w:p>
            <w:pPr>
              <w:pStyle w:val="Compact"/>
              <w:jc w:val="left"/>
            </w:pPr>
            <w:r>
              <w:rPr>
                <w:bCs/>
                <w:b/>
              </w:rPr>
              <w:t xml:space="preserve">TOTAL AMOUNT DUE (USD)</w:t>
            </w:r>
          </w:p>
        </w:tc>
        <w:tc>
          <w:tcPr/>
          <w:p>
            <w:pPr>
              <w:pStyle w:val="Compact"/>
              <w:jc w:val="left"/>
            </w:pPr>
            <w:r>
              <w:rPr>
                <w:bCs/>
                <w:b/>
              </w:rPr>
              <w:t xml:space="preserve">$39,512.38</w:t>
            </w:r>
          </w:p>
        </w:tc>
      </w:tr>
    </w:tbl>
    <w:bookmarkEnd w:id="24"/>
    <w:bookmarkStart w:id="25" w:name="delivery-and-fulfillment"/>
    <w:p>
      <w:pPr>
        <w:pStyle w:val="Heading2"/>
      </w:pPr>
      <w:r>
        <w:t xml:space="preserve">3. Delivery and Fulfillment</w:t>
      </w:r>
    </w:p>
    <w:p>
      <w:pPr>
        <w:pStyle w:val="FirstParagraph"/>
      </w:pPr>
      <w:r>
        <w:t xml:space="preserve">All physical</w:t>
      </w:r>
      <w:r>
        <w:t xml:space="preserve"> </w:t>
      </w:r>
      <w:r>
        <w:t xml:space="preserve">Economist</w:t>
      </w:r>
      <w:r>
        <w:t xml:space="preserve"> </w:t>
      </w:r>
      <w:r>
        <w:t xml:space="preserve">print subscriptions (Item 001) shall be delivered to the Buyer's primary office address at 1455 Market Street, Suite 2800,</w:t>
      </w:r>
      <w:r>
        <w:t xml:space="preserve"> </w:t>
      </w:r>
      <w:r>
        <w:t xml:space="preserve">San Francisco, United States</w:t>
      </w:r>
      <w:r>
        <w:t xml:space="preserve">, no later than July 1, 2025. Digital access licenses (Item 002) must be activated and made available to all designated users within five (5) business days of the execution of this</w:t>
      </w:r>
      <w:r>
        <w:t xml:space="preserve"> </w:t>
      </w:r>
      <w:r>
        <w:t xml:space="preserve">Purchase Order</w:t>
      </w:r>
      <w:r>
        <w:t xml:space="preserve">. The EIU Country Risk Reports (Item 003) and the Custom Economic Briefing Service (Item 004) shall be delivered in PDF and interactive dashboard format via secure electronic transfer to the Buyer's procurement portal. Conference passes (Item 005) for the</w:t>
      </w:r>
      <w:r>
        <w:t xml:space="preserve"> </w:t>
      </w:r>
      <w:r>
        <w:t xml:space="preserve">Economist</w:t>
      </w:r>
      <w:r>
        <w:t xml:space="preserve"> </w:t>
      </w:r>
      <w:r>
        <w:t xml:space="preserve">Annual Economic Summit to be held in</w:t>
      </w:r>
      <w:r>
        <w:t xml:space="preserve"> </w:t>
      </w:r>
      <w:r>
        <w:t xml:space="preserve">San Francisco, United States</w:t>
      </w:r>
      <w:r>
        <w:t xml:space="preserve"> </w:t>
      </w:r>
      <w:r>
        <w:t xml:space="preserve">in September 2025 must be issued no later than August 15, 2025. The white paper (Item 006) shall be delivered in both print and digital formats within ten (10) business days of order confirmation.</w:t>
      </w:r>
    </w:p>
    <w:bookmarkEnd w:id="25"/>
    <w:bookmarkStart w:id="26" w:name="payment-terms-and-conditions"/>
    <w:p>
      <w:pPr>
        <w:pStyle w:val="Heading2"/>
      </w:pPr>
      <w:r>
        <w:t xml:space="preserve">4. Payment Terms and Conditions</w:t>
      </w:r>
    </w:p>
    <w:p>
      <w:pPr>
        <w:numPr>
          <w:ilvl w:val="0"/>
          <w:numId w:val="1001"/>
        </w:numPr>
        <w:pStyle w:val="Compact"/>
      </w:pPr>
      <w:r>
        <w:t xml:space="preserve">Payment shall be made in United States Dollars (USD) via wire transfer to the Seller's designated bank account within thirty (30) calendar days of the invoice date, in accordance with the Net 30 terms specified in this</w:t>
      </w:r>
      <w:r>
        <w:t xml:space="preserve"> </w:t>
      </w:r>
      <w:r>
        <w:t xml:space="preserve">Purchase Order</w:t>
      </w:r>
      <w:r>
        <w:t xml:space="preserve">.</w:t>
      </w:r>
    </w:p>
    <w:p>
      <w:pPr>
        <w:numPr>
          <w:ilvl w:val="0"/>
          <w:numId w:val="1001"/>
        </w:numPr>
        <w:pStyle w:val="Compact"/>
      </w:pPr>
      <w:r>
        <w:t xml:space="preserve">The Buyer shall remit payment to: The Economist Media Group, North American Division, Bank of America, Account No. 4471-8829-003, Routing No. 026009593, Reference: PO-SF-2025-04872.</w:t>
      </w:r>
    </w:p>
    <w:p>
      <w:pPr>
        <w:numPr>
          <w:ilvl w:val="0"/>
          <w:numId w:val="1001"/>
        </w:numPr>
        <w:pStyle w:val="Compact"/>
      </w:pPr>
      <w:r>
        <w:t xml:space="preserve">Late payments shall accrue interest at a rate of 1.5% per month, calculated from the due date until the date of full settlement.</w:t>
      </w:r>
    </w:p>
    <w:p>
      <w:pPr>
        <w:numPr>
          <w:ilvl w:val="0"/>
          <w:numId w:val="1001"/>
        </w:numPr>
        <w:pStyle w:val="Compact"/>
      </w:pPr>
      <w:r>
        <w:t xml:space="preserve">All prices quoted in this</w:t>
      </w:r>
      <w:r>
        <w:t xml:space="preserve"> </w:t>
      </w:r>
      <w:r>
        <w:t xml:space="preserve">Purchase Order</w:t>
      </w:r>
      <w:r>
        <w:t xml:space="preserve"> </w:t>
      </w:r>
      <w:r>
        <w:t xml:space="preserve">are firm and shall not be subject to adjustment for the duration of the contract term, except as expressly agreed in writing by both parties.</w:t>
      </w:r>
    </w:p>
    <w:p>
      <w:pPr>
        <w:numPr>
          <w:ilvl w:val="0"/>
          <w:numId w:val="1001"/>
        </w:numPr>
        <w:pStyle w:val="Compact"/>
      </w:pPr>
      <w:r>
        <w:t xml:space="preserve">The Buyer reserves the right to withhold payment for any line item that is not delivered in accordance with the specifications outlined in Section 2 of this document.</w:t>
      </w:r>
    </w:p>
    <w:bookmarkEnd w:id="26"/>
    <w:bookmarkStart w:id="27" w:name="terms-conditions-and-compliance"/>
    <w:p>
      <w:pPr>
        <w:pStyle w:val="Heading2"/>
      </w:pPr>
      <w:r>
        <w:t xml:space="preserve">5. Terms, Conditions, and Compliance</w:t>
      </w:r>
    </w:p>
    <w:p>
      <w:pPr>
        <w:numPr>
          <w:ilvl w:val="0"/>
          <w:numId w:val="1002"/>
        </w:numPr>
        <w:pStyle w:val="Compact"/>
      </w:pPr>
      <w:r>
        <w:t xml:space="preserve">This</w:t>
      </w:r>
      <w:r>
        <w:t xml:space="preserve"> </w:t>
      </w:r>
      <w:r>
        <w:t xml:space="preserve">Purchase Order</w:t>
      </w:r>
      <w:r>
        <w:t xml:space="preserve"> </w:t>
      </w:r>
      <w:r>
        <w:t xml:space="preserve">shall be governed by and construed in accordance with the laws of the State of California, United States, and the applicable federal statutes of the</w:t>
      </w:r>
      <w:r>
        <w:t xml:space="preserve"> </w:t>
      </w:r>
      <w:r>
        <w:t xml:space="preserve">United States</w:t>
      </w:r>
      <w:r>
        <w:t xml:space="preserve">. Any disputes arising from this agreement shall be resolved through binding arbitration in</w:t>
      </w:r>
      <w:r>
        <w:t xml:space="preserve"> </w:t>
      </w:r>
      <w:r>
        <w:t xml:space="preserve">San Francisco, United States</w:t>
      </w:r>
      <w:r>
        <w:t xml:space="preserve">, in accordance with the rules of the American Arbitration Association.</w:t>
      </w:r>
    </w:p>
    <w:p>
      <w:pPr>
        <w:numPr>
          <w:ilvl w:val="0"/>
          <w:numId w:val="1002"/>
        </w:numPr>
        <w:pStyle w:val="Compact"/>
      </w:pPr>
      <w:r>
        <w:t xml:space="preserve">The Seller warrants that all</w:t>
      </w:r>
      <w:r>
        <w:t xml:space="preserve"> </w:t>
      </w:r>
      <w:r>
        <w:t xml:space="preserve">Economist</w:t>
      </w:r>
      <w:r>
        <w:t xml:space="preserve"> </w:t>
      </w:r>
      <w:r>
        <w:t xml:space="preserve">publications, digital content, and research services provided under this</w:t>
      </w:r>
      <w:r>
        <w:t xml:space="preserve"> </w:t>
      </w:r>
      <w:r>
        <w:t xml:space="preserve">Purchase Order</w:t>
      </w:r>
      <w:r>
        <w:t xml:space="preserve"> </w:t>
      </w:r>
      <w:r>
        <w:t xml:space="preserve">are original, free from intellectual property infringement, and delivered in a professional and timely manner.</w:t>
      </w:r>
    </w:p>
    <w:p>
      <w:pPr>
        <w:numPr>
          <w:ilvl w:val="0"/>
          <w:numId w:val="1002"/>
        </w:numPr>
        <w:pStyle w:val="Compact"/>
      </w:pPr>
      <w:r>
        <w:t xml:space="preserve">The Buyer acknowledges that the</w:t>
      </w:r>
      <w:r>
        <w:t xml:space="preserve"> </w:t>
      </w:r>
      <w:r>
        <w:t xml:space="preserve">Economist</w:t>
      </w:r>
      <w:r>
        <w:t xml:space="preserve"> </w:t>
      </w:r>
      <w:r>
        <w:t xml:space="preserve">brand, its publications, and associated intellectual property remain the sole property of The Economist Media Group. No rights of reproduction, redistribution, or sublicensing are granted beyond the scope of the licenses specified herein.</w:t>
      </w:r>
    </w:p>
    <w:p>
      <w:pPr>
        <w:numPr>
          <w:ilvl w:val="0"/>
          <w:numId w:val="1002"/>
        </w:numPr>
        <w:pStyle w:val="Compact"/>
      </w:pPr>
      <w:r>
        <w:t xml:space="preserve">Either party may terminate this</w:t>
      </w:r>
      <w:r>
        <w:t xml:space="preserve"> </w:t>
      </w:r>
      <w:r>
        <w:t xml:space="preserve">Purchase Order</w:t>
      </w:r>
      <w:r>
        <w:t xml:space="preserve"> </w:t>
      </w:r>
      <w:r>
        <w:t xml:space="preserve">with thirty (30) days' written notice in the event of a material breach by the other party that remains uncured after such notice period.</w:t>
      </w:r>
    </w:p>
    <w:p>
      <w:pPr>
        <w:numPr>
          <w:ilvl w:val="0"/>
          <w:numId w:val="1002"/>
        </w:numPr>
        <w:pStyle w:val="Compact"/>
      </w:pPr>
      <w:r>
        <w:t xml:space="preserve">All personal data processed in connection with this transaction shall comply with the California Consumer Privacy Act (CCPA) and applicable United States federal data protection regulations.</w:t>
      </w:r>
    </w:p>
    <w:p>
      <w:pPr>
        <w:numPr>
          <w:ilvl w:val="0"/>
          <w:numId w:val="1002"/>
        </w:numPr>
        <w:pStyle w:val="Compact"/>
      </w:pPr>
      <w:r>
        <w:t xml:space="preserve">This</w:t>
      </w:r>
      <w:r>
        <w:t xml:space="preserve"> </w:t>
      </w:r>
      <w:r>
        <w:t xml:space="preserve">Purchase Order</w:t>
      </w:r>
      <w:r>
        <w:t xml:space="preserve"> </w:t>
      </w:r>
      <w:r>
        <w:t xml:space="preserve">constitutes the entire agreement between the parties with respect to the subject matter hereof and supersedes all prior negotiations, representations, and agreements, whether written or oral.</w:t>
      </w:r>
    </w:p>
    <w:bookmarkEnd w:id="27"/>
    <w:bookmarkStart w:id="28" w:name="authorization-and-acceptance"/>
    <w:p>
      <w:pPr>
        <w:pStyle w:val="Heading2"/>
      </w:pPr>
      <w:r>
        <w:t xml:space="preserve">6. Authorization and Acceptance</w:t>
      </w:r>
    </w:p>
    <w:p>
      <w:pPr>
        <w:pStyle w:val="FirstParagraph"/>
      </w:pPr>
      <w:r>
        <w:t xml:space="preserve">By signing below, the authorized representatives of both parties acknowledge and agree to all terms, conditions, line items, and obligations set forth in this</w:t>
      </w:r>
      <w:r>
        <w:t xml:space="preserve"> </w:t>
      </w:r>
      <w:r>
        <w:t xml:space="preserve">Purchase Order</w:t>
      </w:r>
      <w:r>
        <w:t xml:space="preserve"> </w:t>
      </w:r>
      <w:r>
        <w:t xml:space="preserve">for the procurement of</w:t>
      </w:r>
      <w:r>
        <w:t xml:space="preserve"> </w:t>
      </w:r>
      <w:r>
        <w:t xml:space="preserve">Economist</w:t>
      </w:r>
      <w:r>
        <w:t xml:space="preserve"> </w:t>
      </w:r>
      <w:r>
        <w:t xml:space="preserve">publications and services, to be fulfilled and performed in</w:t>
      </w:r>
      <w:r>
        <w:t xml:space="preserve"> </w:t>
      </w:r>
      <w:r>
        <w:t xml:space="preserve">San Francisco, United States</w:t>
      </w:r>
      <w:r>
        <w:t xml:space="preserve">.</w:t>
      </w:r>
    </w:p>
    <w:p>
      <w:pPr>
        <w:pStyle w:val="BodyText"/>
      </w:pPr>
      <w:r>
        <w:rPr>
          <w:bCs/>
          <w:b/>
        </w:rPr>
        <w:t xml:space="preserve">For the Buyer:</w:t>
      </w:r>
      <w:r>
        <w:br/>
      </w:r>
      <w:r>
        <w:t xml:space="preserve">Golden Gate Analytics &amp; Advisory Group, Inc.</w:t>
      </w:r>
      <w:r>
        <w:br/>
      </w:r>
      <w:r>
        <w:t xml:space="preserve">San Francisco, United States</w:t>
      </w:r>
    </w:p>
    <w:p>
      <w:pPr>
        <w:pStyle w:val="BodyText"/>
      </w:pPr>
      <w:r>
        <w:rPr>
          <w:bCs/>
          <w:b/>
        </w:rPr>
        <w:t xml:space="preserve">Name:</w:t>
      </w:r>
      <w:r>
        <w:t xml:space="preserve"> </w:t>
      </w:r>
      <w:r>
        <w:t xml:space="preserve">Margaret Chen</w:t>
      </w:r>
      <w:r>
        <w:br/>
      </w:r>
      <w:r>
        <w:rPr>
          <w:bCs/>
          <w:b/>
        </w:rPr>
        <w:t xml:space="preserve">Title:</w:t>
      </w:r>
      <w:r>
        <w:t xml:space="preserve"> </w:t>
      </w:r>
      <w:r>
        <w:t xml:space="preserve">Director of Procurement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the Seller:</w:t>
      </w:r>
      <w:r>
        <w:br/>
      </w:r>
      <w:r>
        <w:t xml:space="preserve">The Economist Media Group, North American Division</w:t>
      </w:r>
      <w:r>
        <w:br/>
      </w:r>
      <w:r>
        <w:t xml:space="preserve">New York, United States</w:t>
      </w:r>
    </w:p>
    <w:p>
      <w:pPr>
        <w:pStyle w:val="BodyText"/>
      </w:pPr>
      <w:r>
        <w:rPr>
          <w:bCs/>
          <w:b/>
        </w:rPr>
        <w:t xml:space="preserve">Name:</w:t>
      </w:r>
      <w:r>
        <w:t xml:space="preserve"> </w:t>
      </w:r>
      <w:r>
        <w:t xml:space="preserve">David Hartley</w:t>
      </w:r>
      <w:r>
        <w:br/>
      </w:r>
      <w:r>
        <w:rPr>
          <w:bCs/>
          <w:b/>
        </w:rPr>
        <w:t xml:space="preserve">Title:</w:t>
      </w:r>
      <w:r>
        <w:t xml:space="preserve"> </w:t>
      </w:r>
      <w:r>
        <w:t xml:space="preserve">Regional Sales Manager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bookmarkEnd w:id="28"/>
    <w:p>
      <w:pPr>
        <w:pStyle w:val="BodyText"/>
      </w:pPr>
      <w:r>
        <w:t xml:space="preserve">This Purchase Order document (PO-SF-2025-04872) was prepared by Golden Gate Analytics &amp; Advisory Group, Inc., San Francisco, United States, for the procurement of Economist publications and economic research services. This document is valid only when signed and dated by both authorized parties. Unauthorized reproduction or distribution of this Purchase Order is strictly prohibited. © 2025 Golden Gate Analytics &amp; Advisory Group, Inc.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The Economist Subscriptions and Economic Research Services</dc:title>
  <dc:creator/>
  <dc:language>en</dc:language>
  <cp:keywords/>
  <dcterms:created xsi:type="dcterms:W3CDTF">2026-10-10T02:03:38Z</dcterms:created>
  <dcterms:modified xsi:type="dcterms:W3CDTF">2026-10-10T02:03:38Z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