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Publications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Official Procurement Document — Economist Publications &amp; Economic Research Services</w:t>
      </w:r>
    </w:p>
    <w:bookmarkEnd w:id="20"/>
    <w:p>
      <w:pPr>
        <w:pStyle w:val="BodyText"/>
      </w:pPr>
      <w:r>
        <w:rPr>
          <w:bCs/>
          <w:b/>
        </w:rPr>
        <w:t xml:space="preserve">Purchase Order No.:</w:t>
      </w:r>
      <w:r>
        <w:t xml:space="preserve"> </w:t>
      </w:r>
      <w:r>
        <w:t xml:space="preserve">PO-VHC-2025-04872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DDP (Delivered Duty Paid)</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Saigon Economic Research &amp; Advisory Group Co., Ltd.</w:t>
            </w:r>
          </w:p>
        </w:tc>
      </w:tr>
      <w:tr>
        <w:tc>
          <w:tcPr/>
          <w:p>
            <w:pPr>
              <w:pStyle w:val="Compact"/>
              <w:jc w:val="left"/>
            </w:pPr>
            <w:r>
              <w:rPr>
                <w:bCs/>
                <w:b/>
              </w:rPr>
              <w:t xml:space="preserve">Address</w:t>
            </w:r>
          </w:p>
        </w:tc>
        <w:tc>
          <w:tcPr/>
          <w:p>
            <w:pPr>
              <w:pStyle w:val="Compact"/>
              <w:jc w:val="left"/>
            </w:pPr>
            <w:r>
              <w:t xml:space="preserve">Level 24, Bitexco Financial Tower, 2 Hải Triều Street, Bến Nghé Ward, District 1,</w:t>
            </w:r>
            <w:r>
              <w:t xml:space="preserve"> </w:t>
            </w:r>
            <w:r>
              <w:t xml:space="preserve">Vietnam Ho Chi Minh City</w:t>
            </w:r>
            <w:r>
              <w:t xml:space="preserve">, 700000, Vietnam</w:t>
            </w:r>
          </w:p>
        </w:tc>
      </w:tr>
      <w:tr>
        <w:tc>
          <w:tcPr/>
          <w:p>
            <w:pPr>
              <w:pStyle w:val="Compact"/>
              <w:jc w:val="left"/>
            </w:pPr>
            <w:r>
              <w:rPr>
                <w:bCs/>
                <w:b/>
              </w:rPr>
              <w:t xml:space="preserve">Tax Code (MST)</w:t>
            </w:r>
          </w:p>
        </w:tc>
        <w:tc>
          <w:tcPr/>
          <w:p>
            <w:pPr>
              <w:pStyle w:val="Compact"/>
              <w:jc w:val="left"/>
            </w:pPr>
            <w:r>
              <w:t xml:space="preserve">0312847561</w:t>
            </w:r>
          </w:p>
        </w:tc>
      </w:tr>
      <w:tr>
        <w:tc>
          <w:tcPr/>
          <w:p>
            <w:pPr>
              <w:pStyle w:val="Compact"/>
              <w:jc w:val="left"/>
            </w:pPr>
            <w:r>
              <w:rPr>
                <w:bCs/>
                <w:b/>
              </w:rPr>
              <w:t xml:space="preserve">Contact Person</w:t>
            </w:r>
          </w:p>
        </w:tc>
        <w:tc>
          <w:tcPr/>
          <w:p>
            <w:pPr>
              <w:pStyle w:val="Compact"/>
              <w:jc w:val="left"/>
            </w:pPr>
            <w:r>
              <w:t xml:space="preserve">Ms. Nguyen Thi Lan Anh — Head of Procurement &amp; Operations</w:t>
            </w:r>
          </w:p>
        </w:tc>
      </w:tr>
      <w:tr>
        <w:tc>
          <w:tcPr/>
          <w:p>
            <w:pPr>
              <w:pStyle w:val="Compact"/>
              <w:jc w:val="left"/>
            </w:pPr>
            <w:r>
              <w:rPr>
                <w:bCs/>
                <w:b/>
              </w:rPr>
              <w:t xml:space="preserve">Email / Phone</w:t>
            </w:r>
          </w:p>
        </w:tc>
        <w:tc>
          <w:tcPr/>
          <w:p>
            <w:pPr>
              <w:pStyle w:val="Compact"/>
              <w:jc w:val="left"/>
            </w:pPr>
            <w:r>
              <w:t xml:space="preserve">procurement@saigerresearch.vn / +84 28 3822 4567</w:t>
            </w:r>
          </w:p>
        </w:tc>
      </w:tr>
    </w:tbl>
    <w:p>
      <w:pPr>
        <w:pStyle w:val="BodyText"/>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The Economist Group (International Distribution Division)</w:t>
            </w:r>
          </w:p>
        </w:tc>
      </w:tr>
      <w:tr>
        <w:tc>
          <w:tcPr/>
          <w:p>
            <w:pPr>
              <w:pStyle w:val="Compact"/>
              <w:jc w:val="left"/>
            </w:pPr>
            <w:r>
              <w:rPr>
                <w:bCs/>
                <w:b/>
              </w:rPr>
              <w:t xml:space="preserve">Address</w:t>
            </w:r>
          </w:p>
        </w:tc>
        <w:tc>
          <w:tcPr/>
          <w:p>
            <w:pPr>
              <w:pStyle w:val="Compact"/>
              <w:jc w:val="left"/>
            </w:pPr>
            <w:r>
              <w:t xml:space="preserve">25 St James's Street, London SW1Y 4HU, United Kingdom</w:t>
            </w:r>
          </w:p>
        </w:tc>
      </w:tr>
      <w:tr>
        <w:tc>
          <w:tcPr/>
          <w:p>
            <w:pPr>
              <w:pStyle w:val="Compact"/>
              <w:jc w:val="left"/>
            </w:pPr>
            <w:r>
              <w:rPr>
                <w:bCs/>
                <w:b/>
              </w:rPr>
              <w:t xml:space="preserve">Registration No.</w:t>
            </w:r>
          </w:p>
        </w:tc>
        <w:tc>
          <w:tcPr/>
          <w:p>
            <w:pPr>
              <w:pStyle w:val="Compact"/>
              <w:jc w:val="left"/>
            </w:pPr>
            <w:r>
              <w:t xml:space="preserve">Registered in England &amp; Wales No. 00214567</w:t>
            </w:r>
          </w:p>
        </w:tc>
      </w:tr>
      <w:tr>
        <w:tc>
          <w:tcPr/>
          <w:p>
            <w:pPr>
              <w:pStyle w:val="Compact"/>
              <w:jc w:val="left"/>
            </w:pPr>
            <w:r>
              <w:rPr>
                <w:bCs/>
                <w:b/>
              </w:rPr>
              <w:t xml:space="preserve">Contact Person</w:t>
            </w:r>
          </w:p>
        </w:tc>
        <w:tc>
          <w:tcPr/>
          <w:p>
            <w:pPr>
              <w:pStyle w:val="Compact"/>
              <w:jc w:val="left"/>
            </w:pPr>
            <w:r>
              <w:t xml:space="preserve">Mr. James A. Whitfield — Regional Sales Director, Southeast Asia</w:t>
            </w:r>
          </w:p>
        </w:tc>
      </w:tr>
      <w:tr>
        <w:tc>
          <w:tcPr/>
          <w:p>
            <w:pPr>
              <w:pStyle w:val="Compact"/>
              <w:jc w:val="left"/>
            </w:pPr>
            <w:r>
              <w:rPr>
                <w:bCs/>
                <w:b/>
              </w:rPr>
              <w:t xml:space="preserve">Email / Phone</w:t>
            </w:r>
          </w:p>
        </w:tc>
        <w:tc>
          <w:tcPr/>
          <w:p>
            <w:pPr>
              <w:pStyle w:val="Compact"/>
              <w:jc w:val="left"/>
            </w:pPr>
            <w:r>
              <w:t xml:space="preserve">international.sales@economist.com / +44 20 7560 0000</w:t>
            </w:r>
          </w:p>
        </w:tc>
      </w:tr>
    </w:tbl>
    <w:p>
      <w:pPr>
        <w:pStyle w:val="BodyText"/>
      </w:pPr>
      <w:r>
        <w:t xml:space="preserve">3. DESCRIPTION OF GOODS AND SERVICES</w:t>
      </w:r>
    </w:p>
    <w:p>
      <w:pPr>
        <w:pStyle w:val="BodyText"/>
      </w:pPr>
      <w:r>
        <w:t xml:space="preserve">This</w:t>
      </w:r>
      <w:r>
        <w:t xml:space="preserve"> </w:t>
      </w:r>
      <w:r>
        <w:t xml:space="preserve">Purchase Order</w:t>
      </w:r>
      <w:r>
        <w:t xml:space="preserve"> </w:t>
      </w:r>
      <w:r>
        <w:t xml:space="preserve">is issued by Saigon Economic Research &amp; Advisory Group Co., Ltd., a registered entity operating in</w:t>
      </w:r>
      <w:r>
        <w:t xml:space="preserve"> </w:t>
      </w:r>
      <w:r>
        <w:t xml:space="preserve">Vietnam Ho Chi Minh City</w:t>
      </w:r>
      <w:r>
        <w:t xml:space="preserve">, for the procurement of</w:t>
      </w:r>
      <w:r>
        <w:t xml:space="preserve"> </w:t>
      </w:r>
      <w:r>
        <w:t xml:space="preserve">Economist</w:t>
      </w:r>
      <w:r>
        <w:t xml:space="preserve"> </w:t>
      </w:r>
      <w:r>
        <w:t xml:space="preserve">publications, digital subscriptions, and associated economic research services. The items listed below are required to support the ongoing economic analysis, policy research, and advisory operations conducted by the Buyer at its principal office in District 1,</w:t>
      </w:r>
      <w:r>
        <w:t xml:space="preserve"> </w:t>
      </w:r>
      <w:r>
        <w:t xml:space="preserve">Vietnam Ho Chi Minh City</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 Access</w:t>
            </w:r>
          </w:p>
        </w:tc>
      </w:tr>
      <w:tr>
        <w:tc>
          <w:tcPr/>
          <w:p>
            <w:pPr>
              <w:pStyle w:val="Compact"/>
              <w:jc w:val="left"/>
            </w:pPr>
            <w:r>
              <w:t xml:space="preserve">1</w:t>
            </w:r>
          </w:p>
        </w:tc>
        <w:tc>
          <w:tcPr/>
          <w:p>
            <w:pPr>
              <w:pStyle w:val="Compact"/>
              <w:jc w:val="left"/>
            </w:pPr>
            <w:r>
              <w:rPr>
                <w:bCs/>
                <w:b/>
              </w:rPr>
              <w:t xml:space="preserve">The Economist</w:t>
            </w:r>
            <w:r>
              <w:t xml:space="preserve"> </w:t>
            </w:r>
            <w:r>
              <w:t xml:space="preserve">— Annual Print Subscription (52 issues per year), delivered to the Buyer's office in</w:t>
            </w:r>
            <w:r>
              <w:t xml:space="preserve"> </w:t>
            </w:r>
            <w:r>
              <w:t xml:space="preserve">Vietnam Ho Chi Minh City</w:t>
            </w:r>
          </w:p>
        </w:tc>
        <w:tc>
          <w:tcPr/>
          <w:p>
            <w:pPr>
              <w:pStyle w:val="Compact"/>
              <w:jc w:val="left"/>
            </w:pPr>
            <w:r>
              <w:t xml:space="preserve">25 copies</w:t>
            </w:r>
          </w:p>
        </w:tc>
        <w:tc>
          <w:tcPr/>
          <w:p>
            <w:pPr>
              <w:pStyle w:val="Compact"/>
              <w:jc w:val="left"/>
            </w:pPr>
            <w:r>
              <w:t xml:space="preserve">$349.00</w:t>
            </w:r>
          </w:p>
        </w:tc>
        <w:tc>
          <w:tcPr/>
          <w:p>
            <w:pPr>
              <w:pStyle w:val="Compact"/>
              <w:jc w:val="left"/>
            </w:pPr>
            <w:r>
              <w:t xml:space="preserve">$8,725.00</w:t>
            </w:r>
          </w:p>
        </w:tc>
        <w:tc>
          <w:tcPr/>
          <w:p>
            <w:pPr>
              <w:pStyle w:val="Compact"/>
              <w:jc w:val="left"/>
            </w:pPr>
            <w:r>
              <w:t xml:space="preserve">Bi-weekly courier to District 1, HCMC</w:t>
            </w:r>
          </w:p>
        </w:tc>
      </w:tr>
      <w:tr>
        <w:tc>
          <w:tcPr/>
          <w:p>
            <w:pPr>
              <w:pStyle w:val="Compact"/>
              <w:jc w:val="left"/>
            </w:pPr>
            <w:r>
              <w:t xml:space="preserve">2</w:t>
            </w:r>
          </w:p>
        </w:tc>
        <w:tc>
          <w:tcPr/>
          <w:p>
            <w:pPr>
              <w:pStyle w:val="Compact"/>
              <w:jc w:val="left"/>
            </w:pPr>
            <w:r>
              <w:rPr>
                <w:bCs/>
                <w:b/>
              </w:rPr>
              <w:t xml:space="preserve">The Economist</w:t>
            </w:r>
            <w:r>
              <w:t xml:space="preserve"> </w:t>
            </w:r>
            <w:r>
              <w:t xml:space="preserve">— Digital Institutional Subscription (Economist.com full access, including The Economist Intelligence Unit data platform), 50 concurrent user licences</w:t>
            </w:r>
          </w:p>
        </w:tc>
        <w:tc>
          <w:tcPr/>
          <w:p>
            <w:pPr>
              <w:pStyle w:val="Compact"/>
              <w:jc w:val="left"/>
            </w:pPr>
            <w:r>
              <w:t xml:space="preserve">1 licence block</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Immediate digital access upon payment</w:t>
            </w:r>
          </w:p>
        </w:tc>
      </w:tr>
      <w:tr>
        <w:tc>
          <w:tcPr/>
          <w:p>
            <w:pPr>
              <w:pStyle w:val="Compact"/>
              <w:jc w:val="left"/>
            </w:pPr>
            <w:r>
              <w:t xml:space="preserve">3</w:t>
            </w:r>
          </w:p>
        </w:tc>
        <w:tc>
          <w:tcPr/>
          <w:p>
            <w:pPr>
              <w:pStyle w:val="Compact"/>
              <w:jc w:val="left"/>
            </w:pPr>
            <w:r>
              <w:rPr>
                <w:bCs/>
                <w:b/>
              </w:rPr>
              <w:t xml:space="preserve">Economist</w:t>
            </w:r>
            <w:r>
              <w:t xml:space="preserve"> </w:t>
            </w:r>
            <w:r>
              <w:t xml:space="preserve">Intelligence Unit (EIU) — Country Risk Report: Vietnam (Annual Edition), including macroeconomic forecasts, political risk assessment, and industry outlooks specific to the</w:t>
            </w:r>
            <w:r>
              <w:t xml:space="preserve"> </w:t>
            </w:r>
            <w:r>
              <w:t xml:space="preserve">Vietnam Ho Chi Minh City</w:t>
            </w:r>
            <w:r>
              <w:t xml:space="preserve"> </w:t>
            </w:r>
            <w:r>
              <w:t xml:space="preserve">metropolitan region</w:t>
            </w:r>
          </w:p>
        </w:tc>
        <w:tc>
          <w:tcPr/>
          <w:p>
            <w:pPr>
              <w:pStyle w:val="Compact"/>
              <w:jc w:val="left"/>
            </w:pPr>
            <w:r>
              <w:t xml:space="preserve">1 report</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Digital PDF + 2 hard copies</w:t>
            </w:r>
          </w:p>
        </w:tc>
      </w:tr>
      <w:tr>
        <w:tc>
          <w:tcPr/>
          <w:p>
            <w:pPr>
              <w:pStyle w:val="Compact"/>
              <w:jc w:val="left"/>
            </w:pPr>
            <w:r>
              <w:t xml:space="preserve">4</w:t>
            </w:r>
          </w:p>
        </w:tc>
        <w:tc>
          <w:tcPr/>
          <w:p>
            <w:pPr>
              <w:pStyle w:val="Compact"/>
              <w:jc w:val="left"/>
            </w:pPr>
            <w:r>
              <w:rPr>
                <w:bCs/>
                <w:b/>
              </w:rPr>
              <w:t xml:space="preserve">Economist</w:t>
            </w:r>
            <w:r>
              <w:t xml:space="preserve"> </w:t>
            </w:r>
            <w:r>
              <w:t xml:space="preserve">— Special Edition: "Southeast Asia Economic Outlook 2025–2030" (hardcover, 320 pages), bulk order for research library</w:t>
            </w:r>
          </w:p>
        </w:tc>
        <w:tc>
          <w:tcPr/>
          <w:p>
            <w:pPr>
              <w:pStyle w:val="Compact"/>
              <w:jc w:val="left"/>
            </w:pPr>
            <w:r>
              <w:t xml:space="preserve">40 copies</w:t>
            </w:r>
          </w:p>
        </w:tc>
        <w:tc>
          <w:tcPr/>
          <w:p>
            <w:pPr>
              <w:pStyle w:val="Compact"/>
              <w:jc w:val="left"/>
            </w:pPr>
            <w:r>
              <w:t xml:space="preserve">$38.00</w:t>
            </w:r>
          </w:p>
        </w:tc>
        <w:tc>
          <w:tcPr/>
          <w:p>
            <w:pPr>
              <w:pStyle w:val="Compact"/>
              <w:jc w:val="left"/>
            </w:pPr>
            <w:r>
              <w:t xml:space="preserve">$1,520.00</w:t>
            </w:r>
          </w:p>
        </w:tc>
        <w:tc>
          <w:tcPr/>
          <w:p>
            <w:pPr>
              <w:pStyle w:val="Compact"/>
              <w:jc w:val="left"/>
            </w:pPr>
            <w:r>
              <w:t xml:space="preserve">Single shipment to HCMC office</w:t>
            </w:r>
          </w:p>
        </w:tc>
      </w:tr>
      <w:tr>
        <w:tc>
          <w:tcPr/>
          <w:p>
            <w:pPr>
              <w:pStyle w:val="Compact"/>
              <w:jc w:val="left"/>
            </w:pPr>
            <w:r>
              <w:t xml:space="preserve">5</w:t>
            </w:r>
          </w:p>
        </w:tc>
        <w:tc>
          <w:tcPr/>
          <w:p>
            <w:pPr>
              <w:pStyle w:val="Compact"/>
              <w:jc w:val="left"/>
            </w:pPr>
            <w:r>
              <w:rPr>
                <w:bCs/>
                <w:b/>
              </w:rPr>
              <w:t xml:space="preserve">Economist</w:t>
            </w:r>
            <w:r>
              <w:t xml:space="preserve"> </w:t>
            </w:r>
            <w:r>
              <w:t xml:space="preserve">— Custom Economic Briefing Service: Quarterly on-site presentation by an</w:t>
            </w:r>
            <w:r>
              <w:t xml:space="preserve"> </w:t>
            </w:r>
            <w:r>
              <w:t xml:space="preserve">Economist</w:t>
            </w:r>
            <w:r>
              <w:t xml:space="preserve"> </w:t>
            </w:r>
            <w:r>
              <w:t xml:space="preserve">Group senior analyst at the Buyer's</w:t>
            </w:r>
            <w:r>
              <w:t xml:space="preserve"> </w:t>
            </w:r>
            <w:r>
              <w:t xml:space="preserve">Vietnam Ho Chi Minh City</w:t>
            </w:r>
            <w:r>
              <w:t xml:space="preserve"> </w:t>
            </w:r>
            <w:r>
              <w:t xml:space="preserve">headquarters, covering trade policy, FDI trends, and monetary policy developments</w:t>
            </w:r>
          </w:p>
        </w:tc>
        <w:tc>
          <w:tcPr/>
          <w:p>
            <w:pPr>
              <w:pStyle w:val="Compact"/>
              <w:jc w:val="left"/>
            </w:pPr>
            <w:r>
              <w:t xml:space="preserve">4 sessions</w:t>
            </w:r>
          </w:p>
        </w:tc>
        <w:tc>
          <w:tcPr/>
          <w:p>
            <w:pPr>
              <w:pStyle w:val="Compact"/>
              <w:jc w:val="left"/>
            </w:pPr>
            <w:r>
              <w:t xml:space="preserve">$2,800.00</w:t>
            </w:r>
          </w:p>
        </w:tc>
        <w:tc>
          <w:tcPr/>
          <w:p>
            <w:pPr>
              <w:pStyle w:val="Compact"/>
              <w:jc w:val="left"/>
            </w:pPr>
            <w:r>
              <w:t xml:space="preserve">$11,200.00</w:t>
            </w:r>
          </w:p>
        </w:tc>
        <w:tc>
          <w:tcPr/>
          <w:p>
            <w:pPr>
              <w:pStyle w:val="Compact"/>
              <w:jc w:val="left"/>
            </w:pPr>
            <w:r>
              <w:t xml:space="preserve">Q3 &amp; Q4 2025, in-person</w:t>
            </w:r>
          </w:p>
        </w:tc>
      </w:tr>
      <w:tr>
        <w:tc>
          <w:tcPr/>
          <w:p>
            <w:pPr>
              <w:pStyle w:val="Compact"/>
              <w:jc w:val="left"/>
            </w:pPr>
            <w:r>
              <w:t xml:space="preserve">6</w:t>
            </w:r>
          </w:p>
        </w:tc>
        <w:tc>
          <w:tcPr/>
          <w:p>
            <w:pPr>
              <w:pStyle w:val="Compact"/>
              <w:jc w:val="left"/>
            </w:pPr>
            <w:r>
              <w:rPr>
                <w:bCs/>
                <w:b/>
              </w:rPr>
              <w:t xml:space="preserve">Economist</w:t>
            </w:r>
            <w:r>
              <w:t xml:space="preserve"> </w:t>
            </w:r>
            <w:r>
              <w:t xml:space="preserve">— Archive Access: Full historical digital archive (1843–present) for institutional research use, 10 concurrent users</w:t>
            </w:r>
          </w:p>
        </w:tc>
        <w:tc>
          <w:tcPr/>
          <w:p>
            <w:pPr>
              <w:pStyle w:val="Compact"/>
              <w:jc w:val="left"/>
            </w:pPr>
            <w:r>
              <w:t xml:space="preserve">1 licence</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Immediate digital access</w:t>
            </w:r>
          </w:p>
        </w:tc>
      </w:tr>
      <w:tr>
        <w:tc>
          <w:tcPr>
            <w:gridSpan w:val="4"/>
          </w:tcPr>
          <w:p>
            <w:pPr>
              <w:pStyle w:val="Compact"/>
              <w:jc w:val="right"/>
            </w:pPr>
            <w:r>
              <w:t xml:space="preserve">SUBTOTAL</w:t>
            </w:r>
          </w:p>
        </w:tc>
        <w:tc>
          <w:tcPr/>
          <w:p>
            <w:pPr>
              <w:pStyle w:val="Compact"/>
              <w:jc w:val="left"/>
            </w:pPr>
            <w:r>
              <w:t xml:space="preserve">$44,945.00</w:t>
            </w:r>
          </w:p>
        </w:tc>
        <w:tc>
          <w:tcPr/>
          <w:p>
            <w:pPr>
              <w:pStyle w:val="Compact"/>
            </w:pPr>
          </w:p>
        </w:tc>
      </w:tr>
      <w:tr>
        <w:tc>
          <w:tcPr>
            <w:gridSpan w:val="4"/>
          </w:tcPr>
          <w:p>
            <w:pPr>
              <w:pStyle w:val="Compact"/>
              <w:jc w:val="right"/>
            </w:pPr>
            <w:r>
              <w:t xml:space="preserve">International Shipping &amp; Customs Clearance (DDP to</w:t>
            </w:r>
            <w:r>
              <w:t xml:space="preserve"> </w:t>
            </w:r>
            <w:r>
              <w:t xml:space="preserve">Vietnam Ho Chi Minh City</w:t>
            </w:r>
            <w:r>
              <w:t xml:space="preserve">)</w:t>
            </w:r>
          </w:p>
        </w:tc>
        <w:tc>
          <w:tcPr/>
          <w:p>
            <w:pPr>
              <w:pStyle w:val="Compact"/>
              <w:jc w:val="left"/>
            </w:pPr>
            <w:r>
              <w:t xml:space="preserve">$1,280.00</w:t>
            </w:r>
          </w:p>
        </w:tc>
        <w:tc>
          <w:tcPr/>
          <w:p>
            <w:pPr>
              <w:pStyle w:val="Compact"/>
            </w:pPr>
          </w:p>
        </w:tc>
      </w:tr>
      <w:tr>
        <w:tc>
          <w:tcPr>
            <w:gridSpan w:val="4"/>
          </w:tcPr>
          <w:p>
            <w:pPr>
              <w:pStyle w:val="Compact"/>
              <w:jc w:val="right"/>
            </w:pPr>
            <w:r>
              <w:t xml:space="preserve">Vietnamese Import Duty &amp; VAT (10%)</w:t>
            </w:r>
          </w:p>
        </w:tc>
        <w:tc>
          <w:tcPr/>
          <w:p>
            <w:pPr>
              <w:pStyle w:val="Compact"/>
              <w:jc w:val="left"/>
            </w:pPr>
            <w:r>
              <w:t xml:space="preserve">$4,622.50</w:t>
            </w:r>
          </w:p>
        </w:tc>
        <w:tc>
          <w:tcPr/>
          <w:p>
            <w:pPr>
              <w:pStyle w:val="Compact"/>
            </w:pPr>
          </w:p>
        </w:tc>
      </w:tr>
      <w:tr>
        <w:tc>
          <w:tcPr>
            <w:gridSpan w:val="4"/>
          </w:tcPr>
          <w:p>
            <w:pPr>
              <w:pStyle w:val="Compact"/>
              <w:jc w:val="right"/>
            </w:pPr>
            <w:r>
              <w:t xml:space="preserve">GRAND TOTAL</w:t>
            </w:r>
          </w:p>
        </w:tc>
        <w:tc>
          <w:tcPr/>
          <w:p>
            <w:pPr>
              <w:pStyle w:val="Compact"/>
              <w:jc w:val="left"/>
            </w:pPr>
            <w:r>
              <w:t xml:space="preserve">$50,847.50</w:t>
            </w:r>
          </w:p>
        </w:tc>
        <w:tc>
          <w:tcPr/>
          <w:p>
            <w:pPr>
              <w:pStyle w:val="Compact"/>
            </w:pP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contract upon written acceptance by the Seller. The Seller must confirm acceptance in writing within five (5) business days of receipt of this document.</w:t>
      </w:r>
    </w:p>
    <w:p>
      <w:pPr>
        <w:numPr>
          <w:ilvl w:val="0"/>
          <w:numId w:val="1001"/>
        </w:numPr>
        <w:pStyle w:val="Compact"/>
      </w:pPr>
      <w:r>
        <w:rPr>
          <w:bCs/>
          <w:b/>
        </w:rPr>
        <w:t xml:space="preserve">Delivery:</w:t>
      </w:r>
      <w:r>
        <w:t xml:space="preserve"> </w:t>
      </w:r>
      <w:r>
        <w:t xml:space="preserve">All physical</w:t>
      </w:r>
      <w:r>
        <w:t xml:space="preserve"> </w:t>
      </w:r>
      <w:r>
        <w:t xml:space="preserve">Economist</w:t>
      </w:r>
      <w:r>
        <w:t xml:space="preserve"> </w:t>
      </w:r>
      <w:r>
        <w:t xml:space="preserve">publications and printed materials shall be delivered to the Buyer's registered office at Bitexco Financial Tower, District 1,</w:t>
      </w:r>
      <w:r>
        <w:t xml:space="preserve"> </w:t>
      </w:r>
      <w:r>
        <w:t xml:space="preserve">Vietnam Ho Chi Minh City</w:t>
      </w:r>
      <w:r>
        <w:t xml:space="preserve">. The Seller assumes full responsibility for international shipping, export documentation from the United Kingdom, and import clearance into Vietnam under DDP terms.</w:t>
      </w:r>
    </w:p>
    <w:p>
      <w:pPr>
        <w:numPr>
          <w:ilvl w:val="0"/>
          <w:numId w:val="1001"/>
        </w:numPr>
        <w:pStyle w:val="Compact"/>
      </w:pPr>
      <w:r>
        <w:rPr>
          <w:bCs/>
          <w:b/>
        </w:rPr>
        <w:t xml:space="preserve">Payment:</w:t>
      </w:r>
      <w:r>
        <w:t xml:space="preserve"> </w:t>
      </w:r>
      <w:r>
        <w:t xml:space="preserve">Payment of the full grand total of USD 50,847.50 shall be made via international wire transfer to the Seller's designated bank account within thirty (30) calendar days from the date of confirmed delivery or digital access activation, whichever is later. Late payments shall accrue interest at a rate of 1.5% per month.</w:t>
      </w:r>
    </w:p>
    <w:p>
      <w:pPr>
        <w:numPr>
          <w:ilvl w:val="0"/>
          <w:numId w:val="1001"/>
        </w:numPr>
        <w:pStyle w:val="Compact"/>
      </w:pPr>
      <w:r>
        <w:rPr>
          <w:bCs/>
          <w:b/>
        </w:rPr>
        <w:t xml:space="preserve">Quality &amp; Compliance:</w:t>
      </w:r>
      <w:r>
        <w:t xml:space="preserve"> </w:t>
      </w:r>
      <w:r>
        <w:t xml:space="preserve">All</w:t>
      </w:r>
      <w:r>
        <w:t xml:space="preserve"> </w:t>
      </w:r>
      <w:r>
        <w:t xml:space="preserve">Economist</w:t>
      </w:r>
      <w:r>
        <w:t xml:space="preserve"> </w:t>
      </w:r>
      <w:r>
        <w:t xml:space="preserve">publications must be in their original, unaltered condition. Digital licences must provide uninterrupted access for the full subscription period. Any defective items or service interruptions must be remedied within ten (10) business days at the Seller's sole expense.</w:t>
      </w:r>
    </w:p>
    <w:p>
      <w:pPr>
        <w:numPr>
          <w:ilvl w:val="0"/>
          <w:numId w:val="1001"/>
        </w:numPr>
        <w:pStyle w:val="Compact"/>
      </w:pPr>
      <w:r>
        <w:rPr>
          <w:bCs/>
          <w:b/>
        </w:rPr>
        <w:t xml:space="preserve">Intellectual Property:</w:t>
      </w:r>
      <w:r>
        <w:t xml:space="preserve"> </w:t>
      </w:r>
      <w:r>
        <w:t xml:space="preserve">All content, data, and research materials provided under this</w:t>
      </w:r>
      <w:r>
        <w:t xml:space="preserve"> </w:t>
      </w:r>
      <w:r>
        <w:t xml:space="preserve">Purchase Order</w:t>
      </w:r>
      <w:r>
        <w:t xml:space="preserve"> </w:t>
      </w:r>
      <w:r>
        <w:t xml:space="preserve">remain the exclusive intellectual property of The Economist Group. The Buyer is granted a non-transferable, non-exclusive licence to use the materials solely for internal research and advisory purposes at its</w:t>
      </w:r>
      <w:r>
        <w:t xml:space="preserve"> </w:t>
      </w:r>
      <w:r>
        <w:t xml:space="preserve">Vietnam Ho Chi Minh City</w:t>
      </w:r>
      <w:r>
        <w:t xml:space="preserve"> </w:t>
      </w:r>
      <w:r>
        <w:t xml:space="preserve">office.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United Kingdom, subject to the mandatory provisions of Vietnamese commercial law applicable to cross-border transactions. Any disputes shall be resolved through arbitration under the rules of the Singapore International Arbitration Centre (SIAC).</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sanctions, or disruptions to international shipping routes affecting delivery to</w:t>
      </w:r>
      <w:r>
        <w:t xml:space="preserve"> </w:t>
      </w:r>
      <w:r>
        <w:t xml:space="preserve">Vietnam Ho Chi Minh City</w:t>
      </w:r>
      <w:r>
        <w:t xml:space="preserve">.</w:t>
      </w:r>
    </w:p>
    <w:p>
      <w:pPr>
        <w:numPr>
          <w:ilvl w:val="0"/>
          <w:numId w:val="1001"/>
        </w:numPr>
        <w:pStyle w:val="Compact"/>
      </w:pPr>
      <w:r>
        <w:rPr>
          <w:bCs/>
          <w:b/>
        </w:rPr>
        <w:t xml:space="preserve">Confidentiality:</w:t>
      </w:r>
      <w:r>
        <w:t xml:space="preserve"> </w:t>
      </w:r>
      <w:r>
        <w:t xml:space="preserve">Both parties agree to maintain strict confidentiality regarding the terms, pricing, and scope of this</w:t>
      </w:r>
      <w:r>
        <w:t xml:space="preserve"> </w:t>
      </w:r>
      <w:r>
        <w:t xml:space="preserve">Purchase Order</w:t>
      </w:r>
      <w:r>
        <w:t xml:space="preserve"> </w:t>
      </w:r>
      <w:r>
        <w:t xml:space="preserve">and shall not disclose such information to third parties without prior written consent.</w:t>
      </w:r>
    </w:p>
    <w:p>
      <w:pPr>
        <w:numPr>
          <w:ilvl w:val="0"/>
          <w:numId w:val="1001"/>
        </w:numPr>
        <w:pStyle w:val="Compact"/>
      </w:pPr>
      <w:r>
        <w:rPr>
          <w:bCs/>
          <w:b/>
        </w:rPr>
        <w:t xml:space="preserve">Amendments:</w:t>
      </w:r>
      <w:r>
        <w:t xml:space="preserve"> </w:t>
      </w:r>
      <w:r>
        <w:t xml:space="preserve">Any modifications to this</w:t>
      </w:r>
      <w:r>
        <w:t xml:space="preserve"> </w:t>
      </w:r>
      <w:r>
        <w:t xml:space="preserve">Purchase Order</w:t>
      </w:r>
      <w:r>
        <w:t xml:space="preserve"> </w:t>
      </w:r>
      <w:r>
        <w:t xml:space="preserve">must be made in writing and signed by authorized representatives of both parties. Verbal agreements or email communications shall not constitute valid amendments.</w:t>
      </w:r>
    </w:p>
    <w:p>
      <w:pPr>
        <w:numPr>
          <w:ilvl w:val="0"/>
          <w:numId w:val="1001"/>
        </w:numPr>
        <w:pStyle w:val="Compact"/>
      </w:pPr>
      <w:r>
        <w:rPr>
          <w:bCs/>
          <w:b/>
        </w:rPr>
        <w:t xml:space="preserve">Termination:</w:t>
      </w:r>
      <w:r>
        <w:t xml:space="preserve"> </w:t>
      </w:r>
      <w:r>
        <w:t xml:space="preserve">Either party may terminate this agreement with thirty (30) days' written notice. In the event of termination, the Buyer shall pay for all goods delivered and services rendered up to the termination date.</w:t>
      </w:r>
    </w:p>
    <w:p>
      <w:pPr>
        <w:pStyle w:val="FirstParagraph"/>
      </w:pPr>
      <w:r>
        <w:t xml:space="preserve">5. AUTHORIZED SIGNATURES</w:t>
      </w:r>
    </w:p>
    <w:p>
      <w:pPr>
        <w:pStyle w:val="BodyText"/>
      </w:pPr>
      <w:r>
        <w:rPr>
          <w:bCs/>
          <w:b/>
        </w:rPr>
        <w:t xml:space="preserve">For and on behalf of the BUYER:</w:t>
      </w:r>
      <w:r>
        <w:br/>
      </w:r>
      <w:r>
        <w:t xml:space="preserve">Saigon Economic Research &amp; Advisory Group Co., Ltd.</w:t>
      </w:r>
      <w:r>
        <w:br/>
      </w:r>
      <w:r>
        <w:t xml:space="preserve">Vietnam Ho Chi Minh City</w:t>
      </w:r>
    </w:p>
    <w:p>
      <w:pPr>
        <w:pStyle w:val="BodyText"/>
      </w:pPr>
      <w:r>
        <w:t xml:space="preserve">Name: Nguyen Thi Lan Anh</w:t>
      </w:r>
      <w:r>
        <w:br/>
      </w:r>
      <w:r>
        <w:t xml:space="preserve">Title: Head of Procurement &amp; Operations</w:t>
      </w:r>
      <w:r>
        <w:br/>
      </w:r>
      <w:r>
        <w:t xml:space="preserve">Signature: _________________________</w:t>
      </w:r>
      <w:r>
        <w:br/>
      </w:r>
      <w:r>
        <w:t xml:space="preserve">Date: _________________________</w:t>
      </w:r>
    </w:p>
    <w:p>
      <w:pPr>
        <w:pStyle w:val="BodyText"/>
      </w:pPr>
      <w:r>
        <w:rPr>
          <w:bCs/>
          <w:b/>
        </w:rPr>
        <w:t xml:space="preserve">For and on behalf of the SELLER:</w:t>
      </w:r>
      <w:r>
        <w:br/>
      </w:r>
      <w:r>
        <w:t xml:space="preserve">The Economist Group (International Distribution Division)</w:t>
      </w:r>
      <w:r>
        <w:br/>
      </w:r>
      <w:r>
        <w:t xml:space="preserve">London, United Kingdom</w:t>
      </w:r>
    </w:p>
    <w:p>
      <w:pPr>
        <w:pStyle w:val="BodyText"/>
      </w:pPr>
      <w:r>
        <w:t xml:space="preserve">Name: James A. Whitfield</w:t>
      </w:r>
      <w:r>
        <w:br/>
      </w:r>
      <w:r>
        <w:t xml:space="preserve">Title: Regional Sales Director, Southeast Asia</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(PO-VHC-2025-04872) is a controlled document issued by Saigon Economic Research &amp; Advisory Group Co., Ltd. for the procurement of</w:t>
      </w:r>
      <w:r>
        <w:t xml:space="preserve"> </w:t>
      </w:r>
      <w:r>
        <w:t xml:space="preserve">Economist</w:t>
      </w:r>
      <w:r>
        <w:t xml:space="preserve"> </w:t>
      </w:r>
      <w:r>
        <w:t xml:space="preserve">publications and services for use in</w:t>
      </w:r>
      <w:r>
        <w:t xml:space="preserve"> </w:t>
      </w:r>
      <w:r>
        <w:t xml:space="preserve">Vietnam Ho Chi Minh City</w:t>
      </w:r>
      <w:r>
        <w:t xml:space="preserve">. Unauthorized reproduction or distribution of this document is strictly prohibited. Document reference: PO-VHC-2025-04872 | Version 1.0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Publications - Vietnam Ho Chi Minh City</dc:title>
  <dc:creator/>
  <dc:language>en</dc:language>
  <cp:keywords/>
  <dcterms:created xsi:type="dcterms:W3CDTF">2026-10-10T08:14:43Z</dcterms:created>
  <dcterms:modified xsi:type="dcterms:W3CDTF">2026-10-10T08:14:43Z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