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Procurement of Professional Editor Software Suite for Editorial Operations in Brazil Brasília</w:t>
      </w:r>
    </w:p>
    <w:bookmarkEnd w:id="20"/>
    <w:p>
      <w:pPr>
        <w:pStyle w:val="BodyText"/>
      </w:pPr>
      <w:r>
        <w:rPr>
          <w:bCs/>
          <w:b/>
        </w:rPr>
        <w:t xml:space="preserve">Purchase Order No.:</w:t>
      </w:r>
      <w:r>
        <w:t xml:space="preserve"> </w:t>
      </w:r>
      <w:r>
        <w:t xml:space="preserve">PO-BR-BSB-2025-04782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Brasília Editorial Group Ltda.</w:t>
      </w:r>
      <w:r>
        <w:br/>
      </w:r>
      <w:r>
        <w:rPr>
          <w:bCs/>
          <w:b/>
        </w:rPr>
        <w:t xml:space="preserve">Address:</w:t>
      </w:r>
      <w:r>
        <w:t xml:space="preserve"> </w:t>
      </w:r>
      <w:r>
        <w:t xml:space="preserve">Setor Comercial Sul, Quadra 04, Bloco A, Sala 1200</w:t>
      </w:r>
      <w:r>
        <w:br/>
      </w:r>
      <w:r>
        <w:rPr>
          <w:bCs/>
          <w:b/>
        </w:rPr>
        <w:t xml:space="preserve">Cidade:</w:t>
      </w:r>
      <w:r>
        <w:t xml:space="preserve"> </w:t>
      </w:r>
      <w:r>
        <w:t xml:space="preserve">Brasília – DF, CEP 70304-900, Brazil</w:t>
      </w:r>
      <w:r>
        <w:br/>
      </w:r>
      <w:r>
        <w:rPr>
          <w:bCs/>
          <w:b/>
        </w:rPr>
        <w:t xml:space="preserve">CNPJ:</w:t>
      </w:r>
      <w:r>
        <w:t xml:space="preserve"> </w:t>
      </w:r>
      <w:r>
        <w:t xml:space="preserve">12.345.678/0001-90</w:t>
      </w:r>
    </w:p>
    <w:bookmarkStart w:id="21" w:name="supplier-information"/>
    <w:p>
      <w:pPr>
        <w:pStyle w:val="Heading2"/>
      </w:pPr>
      <w:r>
        <w:t xml:space="preserve">1. Supplier Information</w:t>
      </w:r>
    </w:p>
    <w:p>
      <w:pPr>
        <w:pStyle w:val="FirstParagraph"/>
      </w:pPr>
      <w:r>
        <w:t xml:space="preserve">This</w:t>
      </w:r>
      <w:r>
        <w:t xml:space="preserve"> </w:t>
      </w:r>
      <w:r>
        <w:t xml:space="preserve">Purchase Order</w:t>
      </w:r>
      <w:r>
        <w:t xml:space="preserve"> </w:t>
      </w:r>
      <w:r>
        <w:t xml:space="preserve">is issued by Brasília Editorial Group Ltda. (hereinafter referred to as the "Buyer"), a company duly registered and operating in the Federal District of Brazil, with its principal offices located in the city of</w:t>
      </w:r>
      <w:r>
        <w:t xml:space="preserve"> </w:t>
      </w:r>
      <w:r>
        <w:t xml:space="preserve">Brazil Brasília</w:t>
      </w:r>
      <w:r>
        <w:t xml:space="preserve">, to the following supplier (hereinafter referred to as the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EditorPro Solutions International Inc.</w:t>
            </w:r>
          </w:p>
        </w:tc>
      </w:tr>
      <w:tr>
        <w:tc>
          <w:tcPr/>
          <w:p>
            <w:pPr>
              <w:pStyle w:val="Compact"/>
              <w:jc w:val="left"/>
            </w:pPr>
            <w:r>
              <w:t xml:space="preserve">Address</w:t>
            </w:r>
          </w:p>
        </w:tc>
        <w:tc>
          <w:tcPr/>
          <w:p>
            <w:pPr>
              <w:pStyle w:val="Compact"/>
              <w:jc w:val="left"/>
            </w:pPr>
            <w:r>
              <w:t xml:space="preserve">4500 Technology Park Drive, Suite 800, Austin, TX 78745, United States</w:t>
            </w:r>
          </w:p>
        </w:tc>
      </w:tr>
      <w:tr>
        <w:tc>
          <w:tcPr/>
          <w:p>
            <w:pPr>
              <w:pStyle w:val="Compact"/>
              <w:jc w:val="left"/>
            </w:pPr>
            <w:r>
              <w:t xml:space="preserve">Registration No.</w:t>
            </w:r>
          </w:p>
        </w:tc>
        <w:tc>
          <w:tcPr/>
          <w:p>
            <w:pPr>
              <w:pStyle w:val="Compact"/>
              <w:jc w:val="left"/>
            </w:pPr>
            <w:r>
              <w:t xml:space="preserve">US-EIN-84-2210937</w:t>
            </w:r>
          </w:p>
        </w:tc>
      </w:tr>
      <w:tr>
        <w:tc>
          <w:tcPr/>
          <w:p>
            <w:pPr>
              <w:pStyle w:val="Compact"/>
              <w:jc w:val="left"/>
            </w:pPr>
            <w:r>
              <w:t xml:space="preserve">Contact Person</w:t>
            </w:r>
          </w:p>
        </w:tc>
        <w:tc>
          <w:tcPr/>
          <w:p>
            <w:pPr>
              <w:pStyle w:val="Compact"/>
              <w:jc w:val="left"/>
            </w:pPr>
            <w:r>
              <w:t xml:space="preserve">Ms. Helena Vasquez – Director of Latin American Sales</w:t>
            </w:r>
          </w:p>
        </w:tc>
      </w:tr>
      <w:tr>
        <w:tc>
          <w:tcPr/>
          <w:p>
            <w:pPr>
              <w:pStyle w:val="Compact"/>
              <w:jc w:val="left"/>
            </w:pPr>
            <w:r>
              <w:t xml:space="preserve">Email</w:t>
            </w:r>
          </w:p>
        </w:tc>
        <w:tc>
          <w:tcPr/>
          <w:p>
            <w:pPr>
              <w:pStyle w:val="Compact"/>
              <w:jc w:val="left"/>
            </w:pPr>
            <w:r>
              <w:t xml:space="preserve">h.vasquez@editorpro-solutions.com</w:t>
            </w:r>
          </w:p>
        </w:tc>
      </w:tr>
      <w:tr>
        <w:tc>
          <w:tcPr/>
          <w:p>
            <w:pPr>
              <w:pStyle w:val="Compact"/>
              <w:jc w:val="left"/>
            </w:pPr>
            <w:r>
              <w:t xml:space="preserve">Phone</w:t>
            </w:r>
          </w:p>
        </w:tc>
        <w:tc>
          <w:tcPr/>
          <w:p>
            <w:pPr>
              <w:pStyle w:val="Compact"/>
              <w:jc w:val="left"/>
            </w:pPr>
            <w:r>
              <w:t xml:space="preserve">+1 (512) 555-0198</w:t>
            </w:r>
          </w:p>
        </w:tc>
      </w:tr>
    </w:tbl>
    <w:bookmarkEnd w:id="21"/>
    <w:bookmarkStart w:id="22" w:name="description-of-goods-services"/>
    <w:p>
      <w:pPr>
        <w:pStyle w:val="Heading2"/>
      </w:pPr>
      <w:r>
        <w:t xml:space="preserve">2. Description of Goods / Services</w:t>
      </w:r>
    </w:p>
    <w:p>
      <w:pPr>
        <w:pStyle w:val="FirstParagraph"/>
      </w:pPr>
      <w:r>
        <w:t xml:space="preserve">The Buyer hereby requests the procurement of a comprehensive</w:t>
      </w:r>
      <w:r>
        <w:t xml:space="preserve"> </w:t>
      </w:r>
      <w:r>
        <w:t xml:space="preserve">Editor</w:t>
      </w:r>
      <w:r>
        <w:t xml:space="preserve"> </w:t>
      </w:r>
      <w:r>
        <w:t xml:space="preserve">software suite, specifically designed for professional editorial workflows, content management, and multi-language document processing. The</w:t>
      </w:r>
      <w:r>
        <w:t xml:space="preserve"> </w:t>
      </w:r>
      <w:r>
        <w:t xml:space="preserve">Editor</w:t>
      </w:r>
      <w:r>
        <w:t xml:space="preserve"> </w:t>
      </w:r>
      <w:r>
        <w:t xml:space="preserve">platform shall be deployed and utilized exclusively within the operational premises of the Buyer located in</w:t>
      </w:r>
      <w:r>
        <w:t xml:space="preserve"> </w:t>
      </w:r>
      <w:r>
        <w:t xml:space="preserve">Brazil Brasília</w:t>
      </w:r>
      <w:r>
        <w:t xml:space="preserve">, serving as the central editorial hub for all publishing, governmental document review, and media production activities conducted in the Federal District.</w:t>
      </w:r>
    </w:p>
    <w:p>
      <w:pPr>
        <w:pStyle w:val="BodyText"/>
      </w:pPr>
      <w:r>
        <w:t xml:space="preserve">The</w:t>
      </w:r>
      <w:r>
        <w:t xml:space="preserve"> </w:t>
      </w:r>
      <w:r>
        <w:t xml:space="preserve">Editor</w:t>
      </w:r>
      <w:r>
        <w:t xml:space="preserve"> </w:t>
      </w:r>
      <w:r>
        <w:t xml:space="preserve">software package must include, but is not limited to, the following modules and capabilities: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EditorPro Enterprise Suite – Core Editor Module (perpetual license, 50 concurrent user seats)</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EditorPro Advanced Typography &amp; Layout Engine (add-on module for the Editor platform)</w:t>
            </w:r>
          </w:p>
        </w:tc>
        <w:tc>
          <w:tcPr/>
          <w:p>
            <w:pPr>
              <w:pStyle w:val="Compact"/>
              <w:jc w:val="left"/>
            </w:pPr>
            <w:r>
              <w:t xml:space="preserve">1</w:t>
            </w:r>
          </w:p>
        </w:tc>
        <w:tc>
          <w:tcPr/>
          <w:p>
            <w:pPr>
              <w:pStyle w:val="Compact"/>
              <w:jc w:val="left"/>
            </w:pPr>
            <w:r>
              <w:t xml:space="preserve">12,200.00</w:t>
            </w:r>
          </w:p>
        </w:tc>
        <w:tc>
          <w:tcPr/>
          <w:p>
            <w:pPr>
              <w:pStyle w:val="Compact"/>
              <w:jc w:val="left"/>
            </w:pPr>
            <w:r>
              <w:t xml:space="preserve">12,200.00</w:t>
            </w:r>
          </w:p>
        </w:tc>
      </w:tr>
      <w:tr>
        <w:tc>
          <w:tcPr/>
          <w:p>
            <w:pPr>
              <w:pStyle w:val="Compact"/>
              <w:jc w:val="left"/>
            </w:pPr>
            <w:r>
              <w:t xml:space="preserve">03</w:t>
            </w:r>
          </w:p>
        </w:tc>
        <w:tc>
          <w:tcPr/>
          <w:p>
            <w:pPr>
              <w:pStyle w:val="Compact"/>
              <w:jc w:val="left"/>
            </w:pPr>
            <w:r>
              <w:t xml:space="preserve">EditorPro Multilingual Localization Pack (Portuguese-Brazil, Spanish, English, French)</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04</w:t>
            </w:r>
          </w:p>
        </w:tc>
        <w:tc>
          <w:tcPr/>
          <w:p>
            <w:pPr>
              <w:pStyle w:val="Compact"/>
              <w:jc w:val="left"/>
            </w:pPr>
            <w:r>
              <w:t xml:space="preserve">EditorPro Cloud Collaboration &amp; Version Control Server (on-premise deployment for Brasília office)</w:t>
            </w:r>
          </w:p>
        </w:tc>
        <w:tc>
          <w:tcPr/>
          <w:p>
            <w:pPr>
              <w:pStyle w:val="Compact"/>
              <w:jc w:val="left"/>
            </w:pPr>
            <w:r>
              <w:t xml:space="preserve">1</w:t>
            </w:r>
          </w:p>
        </w:tc>
        <w:tc>
          <w:tcPr/>
          <w:p>
            <w:pPr>
              <w:pStyle w:val="Compact"/>
              <w:jc w:val="left"/>
            </w:pPr>
            <w:r>
              <w:t xml:space="preserve">22,400.00</w:t>
            </w:r>
          </w:p>
        </w:tc>
        <w:tc>
          <w:tcPr/>
          <w:p>
            <w:pPr>
              <w:pStyle w:val="Compact"/>
              <w:jc w:val="left"/>
            </w:pPr>
            <w:r>
              <w:t xml:space="preserve">22,400.00</w:t>
            </w:r>
          </w:p>
        </w:tc>
      </w:tr>
      <w:tr>
        <w:tc>
          <w:tcPr/>
          <w:p>
            <w:pPr>
              <w:pStyle w:val="Compact"/>
              <w:jc w:val="left"/>
            </w:pPr>
            <w:r>
              <w:t xml:space="preserve">05</w:t>
            </w:r>
          </w:p>
        </w:tc>
        <w:tc>
          <w:tcPr/>
          <w:p>
            <w:pPr>
              <w:pStyle w:val="Compact"/>
              <w:jc w:val="left"/>
            </w:pPr>
            <w:r>
              <w:t xml:space="preserve">EditorPro Annual Technical Support &amp; Updates (24/7 support, SLA 4-hour response)</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On-site Installation, Configuration &amp; Staff Training in Brasília, DF (5-day engagement)</w:t>
            </w:r>
          </w:p>
        </w:tc>
        <w:tc>
          <w:tcPr/>
          <w:p>
            <w:pPr>
              <w:pStyle w:val="Compact"/>
              <w:jc w:val="left"/>
            </w:pPr>
            <w:r>
              <w:t xml:space="preserve">1</w:t>
            </w:r>
          </w:p>
        </w:tc>
        <w:tc>
          <w:tcPr/>
          <w:p>
            <w:pPr>
              <w:pStyle w:val="Compact"/>
              <w:jc w:val="left"/>
            </w:pPr>
            <w:r>
              <w:t xml:space="preserve">14,300.00</w:t>
            </w:r>
          </w:p>
        </w:tc>
        <w:tc>
          <w:tcPr/>
          <w:p>
            <w:pPr>
              <w:pStyle w:val="Compact"/>
              <w:jc w:val="left"/>
            </w:pPr>
            <w:r>
              <w:t xml:space="preserve">14,300.00</w:t>
            </w:r>
          </w:p>
        </w:tc>
      </w:tr>
      <w:tr>
        <w:tc>
          <w:tcPr/>
          <w:p>
            <w:pPr>
              <w:pStyle w:val="Compact"/>
              <w:jc w:val="left"/>
            </w:pPr>
            <w:r>
              <w:t xml:space="preserve">07</w:t>
            </w:r>
          </w:p>
        </w:tc>
        <w:tc>
          <w:tcPr/>
          <w:p>
            <w:pPr>
              <w:pStyle w:val="Compact"/>
              <w:jc w:val="left"/>
            </w:pPr>
            <w:r>
              <w:t xml:space="preserve">EditorPro API Integration Services (linkage with existing CMS and government document systems in Brasília)</w:t>
            </w:r>
          </w:p>
        </w:tc>
        <w:tc>
          <w:tcPr/>
          <w:p>
            <w:pPr>
              <w:pStyle w:val="Compact"/>
              <w:jc w:val="left"/>
            </w:pPr>
            <w:r>
              <w:t xml:space="preserve">1</w:t>
            </w:r>
          </w:p>
        </w:tc>
        <w:tc>
          <w:tcPr/>
          <w:p>
            <w:pPr>
              <w:pStyle w:val="Compact"/>
              <w:jc w:val="left"/>
            </w:pPr>
            <w:r>
              <w:t xml:space="preserve">11,200.00</w:t>
            </w:r>
          </w:p>
        </w:tc>
        <w:tc>
          <w:tcPr/>
          <w:p>
            <w:pPr>
              <w:pStyle w:val="Compact"/>
              <w:jc w:val="left"/>
            </w:pPr>
            <w:r>
              <w:t xml:space="preserve">11,200.00</w:t>
            </w:r>
          </w:p>
        </w:tc>
      </w:tr>
    </w:tbl>
    <w:p>
      <w:pPr>
        <w:pStyle w:val="BodyText"/>
      </w:pPr>
      <w:r>
        <w:rPr>
          <w:bCs/>
          <w:b/>
        </w:rPr>
        <w:t xml:space="preserve">Subtotal:</w:t>
      </w:r>
      <w:r>
        <w:t xml:space="preserve"> </w:t>
      </w:r>
      <w:r>
        <w:t xml:space="preserve">USD 126,000.00</w:t>
      </w:r>
      <w:r>
        <w:br/>
      </w:r>
      <w:r>
        <w:rPr>
          <w:bCs/>
          <w:b/>
        </w:rPr>
        <w:t xml:space="preserve">Import Tax &amp; ICMS (Brazil Brasília jurisdiction):</w:t>
      </w:r>
      <w:r>
        <w:t xml:space="preserve"> </w:t>
      </w:r>
      <w:r>
        <w:t xml:space="preserve">USD 18,900.00</w:t>
      </w:r>
      <w:r>
        <w:br/>
      </w:r>
      <w:r>
        <w:rPr>
          <w:bCs/>
          <w:b/>
        </w:rPr>
        <w:t xml:space="preserve">Shipping &amp; Insurance to Brasília, DF:</w:t>
      </w:r>
      <w:r>
        <w:t xml:space="preserve"> </w:t>
      </w:r>
      <w:r>
        <w:t xml:space="preserve">USD 2,400.00</w:t>
      </w:r>
      <w:r>
        <w:br/>
      </w:r>
      <w:r>
        <w:rPr>
          <w:bCs/>
          <w:b/>
        </w:rPr>
        <w:t xml:space="preserve">GRAND TOTAL:</w:t>
      </w:r>
      <w:r>
        <w:t xml:space="preserve"> </w:t>
      </w:r>
      <w:r>
        <w:rPr>
          <w:bCs/>
          <w:b/>
        </w:rPr>
        <w:t xml:space="preserve">USD 147,300.00</w:t>
      </w:r>
    </w:p>
    <w:bookmarkEnd w:id="22"/>
    <w:bookmarkStart w:id="23" w:name="delivery-and-deployment-terms"/>
    <w:p>
      <w:pPr>
        <w:pStyle w:val="Heading2"/>
      </w:pPr>
      <w:r>
        <w:t xml:space="preserve">3. Delivery and Deployment Terms</w:t>
      </w:r>
    </w:p>
    <w:p>
      <w:pPr>
        <w:pStyle w:val="FirstParagraph"/>
      </w:pPr>
      <w:r>
        <w:t xml:space="preserve">All software licenses, hardware components, and associated documentation for the</w:t>
      </w:r>
      <w:r>
        <w:t xml:space="preserve"> </w:t>
      </w:r>
      <w:r>
        <w:t xml:space="preserve">Editor</w:t>
      </w:r>
      <w:r>
        <w:t xml:space="preserve"> </w:t>
      </w:r>
      <w:r>
        <w:t xml:space="preserve">platform shall be delivered to the Buyer's premises at Setor Comercial Sul, Quadra 04, Bloco A, Sala 1200,</w:t>
      </w:r>
      <w:r>
        <w:t xml:space="preserve"> </w:t>
      </w:r>
      <w:r>
        <w:t xml:space="preserve">Brazil Brasília</w:t>
      </w:r>
      <w:r>
        <w:t xml:space="preserve"> </w:t>
      </w:r>
      <w:r>
        <w:t xml:space="preserve">– DF, CEP 70304-900, no later than 30 August 2025. The Seller acknowledges that the</w:t>
      </w:r>
      <w:r>
        <w:t xml:space="preserve"> </w:t>
      </w:r>
      <w:r>
        <w:t xml:space="preserve">Editor</w:t>
      </w:r>
      <w:r>
        <w:t xml:space="preserve"> </w:t>
      </w:r>
      <w:r>
        <w:t xml:space="preserve">system will be installed in a secure, climate-controlled server room within the Brasília office and must comply with all applicable data sovereignty regulations of the Federal Republic of Brazil, including the General Data Protection Law (LGPD – Lei Geral de Proteção de Dados, Law No. 13,709/2018).</w:t>
      </w:r>
    </w:p>
    <w:p>
      <w:pPr>
        <w:pStyle w:val="BodyText"/>
      </w:pPr>
      <w:r>
        <w:t xml:space="preserve">The on-site installation and training engagement in</w:t>
      </w:r>
      <w:r>
        <w:t xml:space="preserve"> </w:t>
      </w:r>
      <w:r>
        <w:t xml:space="preserve">Brazil Brasília</w:t>
      </w:r>
      <w:r>
        <w:t xml:space="preserve"> </w:t>
      </w:r>
      <w:r>
        <w:t xml:space="preserve">shall be conducted by certified</w:t>
      </w:r>
      <w:r>
        <w:t xml:space="preserve"> </w:t>
      </w:r>
      <w:r>
        <w:t xml:space="preserve">Editor</w:t>
      </w:r>
      <w:r>
        <w:t xml:space="preserve"> </w:t>
      </w:r>
      <w:r>
        <w:t xml:space="preserve">platform specialists who are proficient in Portuguese (Brazilian) to ensure seamless onboarding of the Buyer's editorial staff. All training materials, user manuals, and technical documentation must be provided in both English and Brazilian Portuguese.</w:t>
      </w:r>
    </w:p>
    <w:bookmarkEnd w:id="23"/>
    <w:bookmarkStart w:id="24" w:name="payment-terms"/>
    <w:p>
      <w:pPr>
        <w:pStyle w:val="Heading2"/>
      </w:pPr>
      <w:r>
        <w:t xml:space="preserve">4. Payment Terms</w:t>
      </w:r>
    </w:p>
    <w:p>
      <w:pPr>
        <w:pStyle w:val="FirstParagraph"/>
      </w:pPr>
      <w:r>
        <w:t xml:space="preserve">Payment for this</w:t>
      </w:r>
      <w:r>
        <w:t xml:space="preserve"> </w:t>
      </w:r>
      <w:r>
        <w:t xml:space="preserve">Purchase Order</w:t>
      </w:r>
      <w:r>
        <w:t xml:space="preserve"> </w:t>
      </w:r>
      <w:r>
        <w:t xml:space="preserve">shall be made in accordance with the following schedule, via international wire transfer to the Seller's designated bank account:</w:t>
      </w:r>
    </w:p>
    <w:p>
      <w:pPr>
        <w:numPr>
          <w:ilvl w:val="0"/>
          <w:numId w:val="1001"/>
        </w:numPr>
        <w:pStyle w:val="Compact"/>
      </w:pPr>
      <w:r>
        <w:rPr>
          <w:bCs/>
          <w:b/>
        </w:rPr>
        <w:t xml:space="preserve">30% advance payment</w:t>
      </w:r>
      <w:r>
        <w:t xml:space="preserve"> </w:t>
      </w:r>
      <w:r>
        <w:t xml:space="preserve">(USD 44,190.00) due within 10 business days of the Buyer's written acceptance of this</w:t>
      </w:r>
      <w:r>
        <w:t xml:space="preserve"> </w:t>
      </w:r>
      <w:r>
        <w:t xml:space="preserve">Purchase Order</w:t>
      </w:r>
      <w:r>
        <w:t xml:space="preserve">.</w:t>
      </w:r>
    </w:p>
    <w:p>
      <w:pPr>
        <w:numPr>
          <w:ilvl w:val="0"/>
          <w:numId w:val="1001"/>
        </w:numPr>
        <w:pStyle w:val="Compact"/>
      </w:pPr>
      <w:r>
        <w:rPr>
          <w:bCs/>
          <w:b/>
        </w:rPr>
        <w:t xml:space="preserve">50% upon delivery and successful installation</w:t>
      </w:r>
      <w:r>
        <w:t xml:space="preserve"> </w:t>
      </w:r>
      <w:r>
        <w:t xml:space="preserve">of the</w:t>
      </w:r>
      <w:r>
        <w:t xml:space="preserve"> </w:t>
      </w:r>
      <w:r>
        <w:t xml:space="preserve">Editor</w:t>
      </w:r>
      <w:r>
        <w:t xml:space="preserve"> </w:t>
      </w:r>
      <w:r>
        <w:t xml:space="preserve">platform at the Brasília premises (USD 73,650.00), payable within 15 business days of the signed Delivery Acceptance Certificate.</w:t>
      </w:r>
    </w:p>
    <w:p>
      <w:pPr>
        <w:numPr>
          <w:ilvl w:val="0"/>
          <w:numId w:val="1001"/>
        </w:numPr>
        <w:pStyle w:val="Compact"/>
      </w:pPr>
      <w:r>
        <w:rPr>
          <w:bCs/>
          <w:b/>
        </w:rPr>
        <w:t xml:space="preserve">20% final payment</w:t>
      </w:r>
      <w:r>
        <w:t xml:space="preserve"> </w:t>
      </w:r>
      <w:r>
        <w:t xml:space="preserve">(USD 29,460.00) due within 30 days after the completion of the full training program and a 14-day post-deployment stability period in</w:t>
      </w:r>
      <w:r>
        <w:t xml:space="preserve"> </w:t>
      </w:r>
      <w:r>
        <w:t xml:space="preserve">Brazil Brasília</w:t>
      </w:r>
      <w:r>
        <w:t xml:space="preserve">.</w:t>
      </w:r>
    </w:p>
    <w:p>
      <w:pPr>
        <w:pStyle w:val="FirstParagraph"/>
      </w:pPr>
      <w:r>
        <w:t xml:space="preserve">All payments are subject to applicable Brazilian withholding taxes as mandated by the Receita Federal. The Buyer shall issue the corresponding DARF (Declaração de Débitos e Créditos Tributários Federais) for any tax obligations arising from this cross-border transaction.</w:t>
      </w:r>
    </w:p>
    <w:bookmarkEnd w:id="24"/>
    <w:bookmarkStart w:id="25" w:name="warranties-and-service-level-agreement"/>
    <w:p>
      <w:pPr>
        <w:pStyle w:val="Heading2"/>
      </w:pPr>
      <w:r>
        <w:t xml:space="preserve">5. Warranties and Service Level Agreement</w:t>
      </w:r>
    </w:p>
    <w:p>
      <w:pPr>
        <w:pStyle w:val="FirstParagraph"/>
      </w:pPr>
      <w:r>
        <w:t xml:space="preserve">The Seller warrants that the</w:t>
      </w:r>
      <w:r>
        <w:t xml:space="preserve"> </w:t>
      </w:r>
      <w:r>
        <w:t xml:space="preserve">Editor</w:t>
      </w:r>
      <w:r>
        <w:t xml:space="preserve"> </w:t>
      </w:r>
      <w:r>
        <w:t xml:space="preserve">software suite shall be free from material defects in design, code, and functionality for a period of twenty-four (24) months from the date of final acceptance in</w:t>
      </w:r>
      <w:r>
        <w:t xml:space="preserve"> </w:t>
      </w:r>
      <w:r>
        <w:t xml:space="preserve">Brazil Brasília</w:t>
      </w:r>
      <w:r>
        <w:t xml:space="preserve">. The Seller guarantees a minimum uptime of 99.5% for the on-premise</w:t>
      </w:r>
      <w:r>
        <w:t xml:space="preserve"> </w:t>
      </w:r>
      <w:r>
        <w:t xml:space="preserve">Editor</w:t>
      </w:r>
      <w:r>
        <w:t xml:space="preserve"> </w:t>
      </w:r>
      <w:r>
        <w:t xml:space="preserve">server infrastructure and commits to a maximum response time of four (4) hours for critical defects and twenty-four (24) hours for non-critical issues, with support available in Portuguese (Brazilian) during Brasília business hours (08:00–18:00 BRT, Monday through Friday).</w:t>
      </w:r>
    </w:p>
    <w:bookmarkEnd w:id="25"/>
    <w:bookmarkStart w:id="26" w:name="governing-law-and-dispute-resolution"/>
    <w:p>
      <w:pPr>
        <w:pStyle w:val="Heading2"/>
      </w:pPr>
      <w:r>
        <w:t xml:space="preserve">6. Governing Law and Dispute Resolution</w:t>
      </w:r>
    </w:p>
    <w:p>
      <w:pPr>
        <w:pStyle w:val="FirstParagraph"/>
      </w:pPr>
      <w:r>
        <w:t xml:space="preserve">This</w:t>
      </w:r>
      <w:r>
        <w:t xml:space="preserve"> </w:t>
      </w:r>
      <w:r>
        <w:t xml:space="preserve">Purchase Order</w:t>
      </w:r>
      <w:r>
        <w:t xml:space="preserve"> </w:t>
      </w:r>
      <w:r>
        <w:t xml:space="preserve">and all transactions arising hereunder shall be governed by and construed in accordance with the laws of the Federative Republic of Brazil, with particular reference to the Commercial Code (Código Comercial) and the Consumer Protection provisions applicable to enterprise procurement. Any disputes arising from the interpretation or execution of this</w:t>
      </w:r>
      <w:r>
        <w:t xml:space="preserve"> </w:t>
      </w:r>
      <w:r>
        <w:t xml:space="preserve">Purchase Order</w:t>
      </w:r>
      <w:r>
        <w:t xml:space="preserve"> </w:t>
      </w:r>
      <w:r>
        <w:t xml:space="preserve">relating to the</w:t>
      </w:r>
      <w:r>
        <w:t xml:space="preserve"> </w:t>
      </w:r>
      <w:r>
        <w:t xml:space="preserve">Editor</w:t>
      </w:r>
      <w:r>
        <w:t xml:space="preserve"> </w:t>
      </w:r>
      <w:r>
        <w:t xml:space="preserve">platform deployment in</w:t>
      </w:r>
      <w:r>
        <w:t xml:space="preserve"> </w:t>
      </w:r>
      <w:r>
        <w:t xml:space="preserve">Brazil Brasília</w:t>
      </w:r>
      <w:r>
        <w:t xml:space="preserve"> </w:t>
      </w:r>
      <w:r>
        <w:t xml:space="preserve">shall be submitted to the competent courts of the Federal District (Distrito Federal), Brasília, Brazil, or, at the Buyer's election, to arbitration administered by the CAM-CCBC (Câmara de Arbitragem do Centro de Comércio Brasil-Canadá) seated in Brasília, DF.</w:t>
      </w:r>
    </w:p>
    <w:bookmarkEnd w:id="26"/>
    <w:bookmarkStart w:id="27" w:name="acceptance-and-authorization"/>
    <w:p>
      <w:pPr>
        <w:pStyle w:val="Heading2"/>
      </w:pPr>
      <w:r>
        <w:t xml:space="preserve">7. Acceptance and Authorization</w:t>
      </w:r>
    </w:p>
    <w:p>
      <w:pPr>
        <w:pStyle w:val="FirstParagraph"/>
      </w:pPr>
      <w:r>
        <w:t xml:space="preserve">By signing below, the authorized representatives of both parties confirm their agreement to all terms, conditions, specifications, and pricing outlined in this</w:t>
      </w:r>
      <w:r>
        <w:t xml:space="preserve"> </w:t>
      </w:r>
      <w:r>
        <w:t xml:space="preserve">Purchase Order</w:t>
      </w:r>
      <w:r>
        <w:t xml:space="preserve"> </w:t>
      </w:r>
      <w:r>
        <w:t xml:space="preserve">for the procurement and deployment of the</w:t>
      </w:r>
      <w:r>
        <w:t xml:space="preserve"> </w:t>
      </w:r>
      <w:r>
        <w:t xml:space="preserve">Editor</w:t>
      </w:r>
      <w:r>
        <w:t xml:space="preserve"> </w:t>
      </w:r>
      <w:r>
        <w:t xml:space="preserve">software suite in</w:t>
      </w:r>
      <w:r>
        <w:t xml:space="preserve"> </w:t>
      </w:r>
      <w:r>
        <w:t xml:space="preserve">Brazil Brasília</w:t>
      </w:r>
      <w:r>
        <w:t xml:space="preserve">. This document constitutes a binding commercial agreement upon execution by both parties.</w:t>
      </w:r>
    </w:p>
    <w:bookmarkEnd w:id="27"/>
    <w:p>
      <w:pPr>
        <w:pStyle w:val="BodyText"/>
      </w:pPr>
      <w:r>
        <w:rPr>
          <w:bCs/>
          <w:b/>
        </w:rPr>
        <w:t xml:space="preserve">For the Buyer:</w:t>
      </w:r>
      <w:r>
        <w:br/>
      </w:r>
      <w:r>
        <w:t xml:space="preserve">Brasília Editorial Group Ltda.</w:t>
      </w:r>
    </w:p>
    <w:p>
      <w:pPr>
        <w:pStyle w:val="BodyText"/>
      </w:pPr>
      <w:r>
        <w:t xml:space="preserve">Name: Ricardo Almeida Santos</w:t>
      </w:r>
      <w:r>
        <w:br/>
      </w:r>
      <w:r>
        <w:t xml:space="preserve">Title: Chief Procurement Officer</w:t>
      </w:r>
      <w:r>
        <w:br/>
      </w:r>
      <w:r>
        <w:t xml:space="preserve">Date: _______________</w:t>
      </w:r>
    </w:p>
    <w:p>
      <w:pPr>
        <w:pStyle w:val="BodyText"/>
      </w:pPr>
      <w:r>
        <w:rPr>
          <w:bCs/>
          <w:b/>
        </w:rPr>
        <w:t xml:space="preserve">For the Seller:</w:t>
      </w:r>
      <w:r>
        <w:br/>
      </w:r>
      <w:r>
        <w:t xml:space="preserve">EditorPro Solutions International Inc.</w:t>
      </w:r>
    </w:p>
    <w:p>
      <w:pPr>
        <w:pStyle w:val="BodyText"/>
      </w:pPr>
      <w:r>
        <w:t xml:space="preserve">Name: Helena Vasquez</w:t>
      </w:r>
      <w:r>
        <w:br/>
      </w:r>
      <w:r>
        <w:t xml:space="preserve">Title: Director of Latin American Sales</w:t>
      </w:r>
      <w:r>
        <w:br/>
      </w:r>
      <w:r>
        <w:t xml:space="preserve">Date: _______________</w:t>
      </w:r>
    </w:p>
    <w:p>
      <w:pPr>
        <w:pStyle w:val="BodyText"/>
      </w:pPr>
      <w:r>
        <w:t xml:space="preserve">Purchase Order No. PO-BR-BSB-2025-04782 | Issued in Brasília, DF – Brazil | Page 1 of 1</w:t>
      </w:r>
      <w:r>
        <w:br/>
      </w:r>
      <w:r>
        <w:t xml:space="preserve">This document is the property of Brasília Editorial Group Ltda. Unauthorized reproduction or distribution is prohibited under Brazilian intellectual property law (Lei 9.609/1998).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 Brazil Brasília</dc:title>
  <dc:creator/>
  <dc:language>en</dc:language>
  <cp:keywords/>
  <dcterms:created xsi:type="dcterms:W3CDTF">2026-10-10T04:09:14Z</dcterms:created>
  <dcterms:modified xsi:type="dcterms:W3CDTF">2026-10-10T04:09:14Z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