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Meridian Digital Solutions Sdn. Bhd. — Kuala Lumpur, Malaysia</w:t>
      </w:r>
    </w:p>
    <w:p>
      <w:pPr>
        <w:pStyle w:val="BodyText"/>
      </w:pPr>
      <w:r>
        <w:t xml:space="preserve">No. 12, Jalan Ampang, 50450 Kuala Lumpur, Malaysia | Reg. No. 201901045678(M)</w:t>
      </w:r>
    </w:p>
    <w:bookmarkEnd w:id="20"/>
    <w:p>
      <w:pPr>
        <w:pStyle w:val="BodyText"/>
      </w:pPr>
      <w:r>
        <w:rPr>
          <w:bCs/>
          <w:b/>
        </w:rPr>
        <w:t xml:space="preserve">Purchase Order No.:</w:t>
      </w:r>
      <w:r>
        <w:t xml:space="preserve"> </w:t>
      </w:r>
      <w:r>
        <w:t xml:space="preserve">PO-ML-2025-00472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Malaysia Kuala Lumpur</w:t>
      </w:r>
    </w:p>
    <w:p>
      <w:pPr>
        <w:pStyle w:val="BodyText"/>
      </w:pPr>
      <w:r>
        <w:rPr>
          <w:bCs/>
          <w:b/>
        </w:rPr>
        <w:t xml:space="preserve">Delivery Address:</w:t>
      </w:r>
      <w:r>
        <w:t xml:space="preserve"> </w:t>
      </w:r>
      <w:r>
        <w:t xml:space="preserve">Level 18, Menara Sentral, Jalan Stesen Sentral 5, 50470 Kuala Lumpur, Malaysia</w:t>
      </w:r>
    </w:p>
    <w:p>
      <w:pPr>
        <w:pStyle w:val="BodyText"/>
      </w:pPr>
      <w:r>
        <w:rPr>
          <w:bCs/>
          <w:b/>
        </w:rPr>
        <w:t xml:space="preserve">Contact Person:</w:t>
      </w:r>
      <w:r>
        <w:t xml:space="preserve"> </w:t>
      </w:r>
      <w:r>
        <w:t xml:space="preserve">Mr. Tan Wei Ming</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Editorial &amp; Creative Services Sdn. Bhd.</w:t>
            </w:r>
          </w:p>
        </w:tc>
      </w:tr>
      <w:tr>
        <w:tc>
          <w:tcPr/>
          <w:p>
            <w:pPr>
              <w:pStyle w:val="Compact"/>
              <w:jc w:val="left"/>
            </w:pPr>
            <w:r>
              <w:t xml:space="preserve">Address</w:t>
            </w:r>
          </w:p>
        </w:tc>
        <w:tc>
          <w:tcPr/>
          <w:p>
            <w:pPr>
              <w:pStyle w:val="Compact"/>
              <w:jc w:val="left"/>
            </w:pPr>
            <w:r>
              <w:t xml:space="preserve">Suite 704, Level 7, The Exchange TRX, Persiaran TRX 2, 55188 Kuala Lumpur, Malaysia</w:t>
            </w:r>
          </w:p>
        </w:tc>
      </w:tr>
      <w:tr>
        <w:tc>
          <w:tcPr/>
          <w:p>
            <w:pPr>
              <w:pStyle w:val="Compact"/>
              <w:jc w:val="left"/>
            </w:pPr>
            <w:r>
              <w:t xml:space="preserve">Registration No.</w:t>
            </w:r>
          </w:p>
        </w:tc>
        <w:tc>
          <w:tcPr/>
          <w:p>
            <w:pPr>
              <w:pStyle w:val="Compact"/>
              <w:jc w:val="left"/>
            </w:pPr>
            <w:r>
              <w:t xml:space="preserve">201501234567(M)</w:t>
            </w:r>
          </w:p>
        </w:tc>
      </w:tr>
      <w:tr>
        <w:tc>
          <w:tcPr/>
          <w:p>
            <w:pPr>
              <w:pStyle w:val="Compact"/>
              <w:jc w:val="left"/>
            </w:pPr>
            <w:r>
              <w:t xml:space="preserve">Tax Identification (TIN)</w:t>
            </w:r>
          </w:p>
        </w:tc>
        <w:tc>
          <w:tcPr/>
          <w:p>
            <w:pPr>
              <w:pStyle w:val="Compact"/>
              <w:jc w:val="left"/>
            </w:pPr>
            <w:r>
              <w:t xml:space="preserve">001234567890</w:t>
            </w:r>
          </w:p>
        </w:tc>
      </w:tr>
      <w:tr>
        <w:tc>
          <w:tcPr/>
          <w:p>
            <w:pPr>
              <w:pStyle w:val="Compact"/>
              <w:jc w:val="left"/>
            </w:pPr>
            <w:r>
              <w:t xml:space="preserve">Contact</w:t>
            </w:r>
          </w:p>
        </w:tc>
        <w:tc>
          <w:tcPr/>
          <w:p>
            <w:pPr>
              <w:pStyle w:val="Compact"/>
              <w:jc w:val="left"/>
            </w:pPr>
            <w:r>
              <w:t xml:space="preserve">Ms. Aisyah Rahman — aisyah.rahman@apexeditorial.my — +60 3-2180 4455</w:t>
            </w:r>
          </w:p>
        </w:tc>
      </w:tr>
      <w:tr>
        <w:tc>
          <w:tcPr/>
          <w:p>
            <w:pPr>
              <w:pStyle w:val="Compact"/>
              <w:jc w:val="left"/>
            </w:pPr>
            <w:r>
              <w:t xml:space="preserve">Bank Details</w:t>
            </w:r>
          </w:p>
        </w:tc>
        <w:tc>
          <w:tcPr/>
          <w:p>
            <w:pPr>
              <w:pStyle w:val="Compact"/>
              <w:jc w:val="left"/>
            </w:pPr>
            <w:r>
              <w:t xml:space="preserve">Maybank Berhad — A/C No. 5123-4567-8901 — SWIFT: BMMBMYKL</w:t>
            </w:r>
          </w:p>
        </w:tc>
      </w:tr>
    </w:tbl>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Meridian Digital Solutions Sdn. Bhd. to procure professional</w:t>
      </w:r>
      <w:r>
        <w:t xml:space="preserve"> </w:t>
      </w:r>
      <w:r>
        <w:t xml:space="preserve">Editor</w:t>
      </w:r>
      <w:r>
        <w:t xml:space="preserve"> </w:t>
      </w:r>
      <w:r>
        <w:t xml:space="preserve">services, editorial software licenses, and related equipment for deployment at our primary office in</w:t>
      </w:r>
      <w:r>
        <w:t xml:space="preserve"> </w:t>
      </w:r>
      <w:r>
        <w:t xml:space="preserve">Malaysia Kuala Lumpur</w:t>
      </w:r>
      <w:r>
        <w:t xml:space="preserve">. The scope of this order encompasses the engagement of a senior content Editor, the licensing of industry-standard editorial software, and the supply of hardware peripherals required to establish a fully functional editorial workstation within our Kuala Lumpur premises.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Content Editor — Full-time engagement (12-month contract). The Editor shall be responsible for reviewing, revising, proofreading, and finalizing all published content including marketing materials, technical documentation, press releases, and digital media scripts. The Editor must possess a minimum of eight (8) years of professional editorial experience and fluency in both English and Bahasa Malaysia.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Adobe Creative Cloud All Apps — Annual Enterprise License (includes InDesign, Photoshop, Illustrator, Premiere Pro, and After Effects). Required for the Editor to perform layout design, image editing, and multimedia content production.</w:t>
            </w:r>
          </w:p>
        </w:tc>
        <w:tc>
          <w:tcPr/>
          <w:p>
            <w:pPr>
              <w:pStyle w:val="Compact"/>
              <w:jc w:val="left"/>
            </w:pPr>
            <w:r>
              <w:t xml:space="preserve">2</w:t>
            </w:r>
          </w:p>
        </w:tc>
        <w:tc>
          <w:tcPr/>
          <w:p>
            <w:pPr>
              <w:pStyle w:val="Compact"/>
              <w:jc w:val="left"/>
            </w:pPr>
            <w:r>
              <w:t xml:space="preserve">4,890.00</w:t>
            </w:r>
          </w:p>
        </w:tc>
        <w:tc>
          <w:tcPr/>
          <w:p>
            <w:pPr>
              <w:pStyle w:val="Compact"/>
              <w:jc w:val="left"/>
            </w:pPr>
            <w:r>
              <w:t xml:space="preserve">9,780.00</w:t>
            </w:r>
          </w:p>
        </w:tc>
      </w:tr>
      <w:tr>
        <w:tc>
          <w:tcPr/>
          <w:p>
            <w:pPr>
              <w:pStyle w:val="Compact"/>
              <w:jc w:val="left"/>
            </w:pPr>
            <w:r>
              <w:t xml:space="preserve">3</w:t>
            </w:r>
          </w:p>
        </w:tc>
        <w:tc>
          <w:tcPr/>
          <w:p>
            <w:pPr>
              <w:pStyle w:val="Compact"/>
              <w:jc w:val="left"/>
            </w:pPr>
            <w:r>
              <w:t xml:space="preserve">Grammarly Business &amp; ProWritingAid Enterprise — Annual subscription for advanced language checking, style enforcement, and plagiarism detection tools to support the Editor's workflow.</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4</w:t>
            </w:r>
          </w:p>
        </w:tc>
        <w:tc>
          <w:tcPr/>
          <w:p>
            <w:pPr>
              <w:pStyle w:val="Compact"/>
              <w:jc w:val="left"/>
            </w:pPr>
            <w:r>
              <w:t xml:space="preserve">Dell UltraSharp U2723QE 27-inch 4K Monitor — For the Editor's primary display. Includes USB-C docking, color-calibrated panel, and stand. Two units required for dual-monitor editorial setup.</w:t>
            </w:r>
          </w:p>
        </w:tc>
        <w:tc>
          <w:tcPr/>
          <w:p>
            <w:pPr>
              <w:pStyle w:val="Compact"/>
              <w:jc w:val="left"/>
            </w:pPr>
            <w:r>
              <w:t xml:space="preserve">2</w:t>
            </w:r>
          </w:p>
        </w:tc>
        <w:tc>
          <w:tcPr/>
          <w:p>
            <w:pPr>
              <w:pStyle w:val="Compact"/>
              <w:jc w:val="left"/>
            </w:pPr>
            <w:r>
              <w:t xml:space="preserve">2,350.00</w:t>
            </w:r>
          </w:p>
        </w:tc>
        <w:tc>
          <w:tcPr/>
          <w:p>
            <w:pPr>
              <w:pStyle w:val="Compact"/>
              <w:jc w:val="left"/>
            </w:pPr>
            <w:r>
              <w:t xml:space="preserve">4,700.00</w:t>
            </w:r>
          </w:p>
        </w:tc>
      </w:tr>
      <w:tr>
        <w:tc>
          <w:tcPr/>
          <w:p>
            <w:pPr>
              <w:pStyle w:val="Compact"/>
              <w:jc w:val="left"/>
            </w:pPr>
            <w:r>
              <w:t xml:space="preserve">5</w:t>
            </w:r>
          </w:p>
        </w:tc>
        <w:tc>
          <w:tcPr/>
          <w:p>
            <w:pPr>
              <w:pStyle w:val="Compact"/>
              <w:jc w:val="left"/>
            </w:pPr>
            <w:r>
              <w:t xml:space="preserve">Logitech MX Master 3S Wireless Mouse &amp; MX Keys S Keyboard — Ergonomic peripherals for the Editor's workstation to ensure comfort during extended editing sessions.</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6</w:t>
            </w:r>
          </w:p>
        </w:tc>
        <w:tc>
          <w:tcPr/>
          <w:p>
            <w:pPr>
              <w:pStyle w:val="Compact"/>
              <w:jc w:val="left"/>
            </w:pPr>
            <w:r>
              <w:t xml:space="preserve">Professional Reference Library — Physical and digital copies of the Oxford English Dictionary, The Chicago Manual of Style (18th Edition), The Guardian Style Guide, and the Dewan Bahasa dan Pustaka (DBP) Malay Language Handbook. Required for the Editor to maintain consistent editorial standards in both English and Bahasa Malaysia.</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Editorial Workflow Software — Custom CMS integration and version-control setup (Git-based) for collaborative editing. Includes on-site installation, configuration, and a two-day training session for the Editor and two junior staff members at our Malaysia Kuala Lumpur office.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On-site Installation, Configuration &amp; Commissioning — Vendor's technical team shall visit the Malaysia Kuala Lumpur office to install all hardware, configure software, test the editorial workstation end-to-end, and certify readiness for the Editor to commence work.</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215,630.00</w:t>
            </w:r>
          </w:p>
        </w:tc>
      </w:tr>
      <w:tr>
        <w:tc>
          <w:tcPr>
            <w:gridSpan w:val="4"/>
          </w:tcPr>
          <w:p>
            <w:pPr>
              <w:pStyle w:val="Compact"/>
              <w:jc w:val="left"/>
            </w:pPr>
            <w:r>
              <w:t xml:space="preserve">Sales &amp; Service Tax (SST) @ 8%</w:t>
            </w:r>
          </w:p>
        </w:tc>
        <w:tc>
          <w:tcPr/>
          <w:p>
            <w:pPr>
              <w:pStyle w:val="Compact"/>
              <w:jc w:val="left"/>
            </w:pPr>
            <w:r>
              <w:t xml:space="preserve">17,250.40</w:t>
            </w:r>
          </w:p>
        </w:tc>
      </w:tr>
      <w:tr>
        <w:tc>
          <w:tcPr>
            <w:gridSpan w:val="4"/>
          </w:tcPr>
          <w:p>
            <w:pPr>
              <w:pStyle w:val="Compact"/>
              <w:jc w:val="left"/>
            </w:pPr>
            <w:r>
              <w:rPr>
                <w:bCs/>
                <w:b/>
              </w:rPr>
              <w:t xml:space="preserve">Grand Total (MYR)</w:t>
            </w:r>
          </w:p>
        </w:tc>
        <w:tc>
          <w:tcPr/>
          <w:p>
            <w:pPr>
              <w:pStyle w:val="Compact"/>
              <w:jc w:val="left"/>
            </w:pPr>
            <w:r>
              <w:rPr>
                <w:bCs/>
                <w:b/>
              </w:rPr>
              <w:t xml:space="preserve">232,880.40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Digital Solutions Sdn. Bhd. (hereinafter "the Buyer") and Apex Editorial &amp; Creative Services Sdn. Bhd. (hereinafter "the Supplier") upon written acceptance by both parties.</w:t>
      </w:r>
    </w:p>
    <w:p>
      <w:pPr>
        <w:numPr>
          <w:ilvl w:val="0"/>
          <w:numId w:val="1001"/>
        </w:numPr>
        <w:pStyle w:val="Compact"/>
      </w:pPr>
      <w:r>
        <w:t xml:space="preserve">The Supplier shall assign a qualified</w:t>
      </w:r>
      <w:r>
        <w:t xml:space="preserve"> </w:t>
      </w:r>
      <w:r>
        <w:t xml:space="preserve">Editor</w:t>
      </w:r>
      <w:r>
        <w:t xml:space="preserve"> </w:t>
      </w:r>
      <w:r>
        <w:t xml:space="preserve">who meets the minimum qualifications specified in Item 1. The Buyer reserves the right to request a replacement Editor within the first thirty (30) days if performance does not meet the agreed-upon standards.</w:t>
      </w:r>
    </w:p>
    <w:p>
      <w:pPr>
        <w:numPr>
          <w:ilvl w:val="0"/>
          <w:numId w:val="1001"/>
        </w:numPr>
        <w:pStyle w:val="Compact"/>
      </w:pPr>
      <w:r>
        <w:t xml:space="preserve">All hardware and software deliveries shall be made to the Buyer's registered office in</w:t>
      </w:r>
      <w:r>
        <w:t xml:space="preserve"> </w:t>
      </w:r>
      <w:r>
        <w:t xml:space="preserve">Malaysia Kuala Lumpur</w:t>
      </w:r>
      <w:r>
        <w:t xml:space="preserve"> </w:t>
      </w:r>
      <w:r>
        <w:t xml:space="preserve">at the address stated above. Delivery is expected no later than 28 June 2025. The Editor's onboarding date is set for 1 July 2025.</w:t>
      </w:r>
    </w:p>
    <w:p>
      <w:pPr>
        <w:numPr>
          <w:ilvl w:val="0"/>
          <w:numId w:val="1001"/>
        </w:numPr>
        <w:pStyle w:val="Compact"/>
      </w:pPr>
      <w:r>
        <w:t xml:space="preserve">Payment terms: 30% advance payment upon acceptance of this Purchase Order; 40% upon successful delivery and installation of all hardware and software; 30% upon completion of the 12-month Editor engagement and final acceptance. All payments shall be made via bank transfer to the account specified above.</w:t>
      </w:r>
    </w:p>
    <w:p>
      <w:pPr>
        <w:numPr>
          <w:ilvl w:val="0"/>
          <w:numId w:val="1001"/>
        </w:numPr>
        <w:pStyle w:val="Compact"/>
      </w:pPr>
      <w:r>
        <w:t xml:space="preserve">The Supplier warrants that all software licenses are genuine, properly authorized, and free from any intellectual property encumbrance. The Editor's services are provided under a service agreement that includes confidentiality and non-disclosure obligations binding on both parties.</w:t>
      </w:r>
    </w:p>
    <w:p>
      <w:pPr>
        <w:numPr>
          <w:ilvl w:val="0"/>
          <w:numId w:val="1001"/>
        </w:numPr>
        <w:pStyle w:val="Compact"/>
      </w:pPr>
      <w:r>
        <w:t xml:space="preserve">Any changes to the scope, quantity, or specifications outlined in this Purchase Order must be made in writing and signed by both parties. Verbal modifications shall not be enforceable.</w:t>
      </w:r>
    </w:p>
    <w:p>
      <w:pPr>
        <w:numPr>
          <w:ilvl w:val="0"/>
          <w:numId w:val="1001"/>
        </w:numPr>
        <w:pStyle w:val="Compact"/>
      </w:pPr>
      <w:r>
        <w:t xml:space="preserve">The Supplier shall comply with all applicable laws of Malaysia, including the Personal Data Protection Act 2010 (PDPA), the Employment Act 1955, and the Consumer Protection Act 1999, in the course of fulfilling this order in Malaysia Kuala Lumpur.</w:t>
      </w:r>
    </w:p>
    <w:p>
      <w:pPr>
        <w:numPr>
          <w:ilvl w:val="0"/>
          <w:numId w:val="1001"/>
        </w:numPr>
        <w:pStyle w:val="Compact"/>
      </w:pPr>
      <w:r>
        <w:t xml:space="preserve">In the event of a dispute arising from this Purchase Order, both parties agree to first attempt resolution through good-faith negotiation. If unresolved within thirty (30) days, the matter shall be referred to mediation under the rules of the Asian International Arbitration Centre (AIAC) in Kuala Lumpur, Malaysia.</w:t>
      </w:r>
    </w:p>
    <w:p>
      <w:pPr>
        <w:numPr>
          <w:ilvl w:val="0"/>
          <w:numId w:val="1001"/>
        </w:numPr>
        <w:pStyle w:val="Compact"/>
      </w:pPr>
      <w:r>
        <w:t xml:space="preserve">This Purchase Order is governed by and shall be construed in accordance with the laws of Malaysia. The courts of Kuala Lumpur shall have exclusive jurisdiction over any legal proceedings arising hereunder.</w:t>
      </w:r>
    </w:p>
    <w:p>
      <w:pPr>
        <w:numPr>
          <w:ilvl w:val="0"/>
          <w:numId w:val="1001"/>
        </w:numPr>
        <w:pStyle w:val="Compact"/>
      </w:pPr>
      <w:r>
        <w:t xml:space="preserve">The Supplier shall provide a comprehensive warranty of twelve (12) months on all hardware items and a full refund guarantee on software licenses if the Editor's engagement is terminated before the first month concludes for reasons attributable to the Supplier.</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The Supplier confirms its capacity to deliver the Editor services, software, and hardware as described, and the Buyer confirms its commitment to the payment schedule outlined herein. This document is executed in the city of Malaysia Kuala Lumpur.</w:t>
      </w:r>
    </w:p>
    <w:p>
      <w:pPr>
        <w:pStyle w:val="BodyText"/>
      </w:pPr>
      <w:r>
        <w:rPr>
          <w:bCs/>
          <w:b/>
        </w:rPr>
        <w:t xml:space="preserve">For and on behalf of the Buyer</w:t>
      </w:r>
      <w:r>
        <w:br/>
      </w:r>
      <w:r>
        <w:t xml:space="preserve">Meridian Digital Solutions Sdn. Bhd.</w:t>
      </w:r>
      <w:r>
        <w:br/>
      </w:r>
      <w:r>
        <w:br/>
      </w:r>
      <w:r>
        <w:t xml:space="preserve">Name: Mr. Tan Wei Ming</w:t>
      </w:r>
      <w:r>
        <w:br/>
      </w:r>
      <w:r>
        <w:t xml:space="preserve">Designation: Chief Operating Officer</w:t>
      </w:r>
      <w:r>
        <w:br/>
      </w:r>
      <w:r>
        <w:t xml:space="preserve">Date: ____________________</w:t>
      </w:r>
    </w:p>
    <w:p>
      <w:pPr>
        <w:pStyle w:val="BodyText"/>
      </w:pPr>
      <w:r>
        <w:rPr>
          <w:bCs/>
          <w:b/>
        </w:rPr>
        <w:t xml:space="preserve">For and on behalf of the Supplier</w:t>
      </w:r>
      <w:r>
        <w:br/>
      </w:r>
      <w:r>
        <w:t xml:space="preserve">Apex Editorial &amp; Creative Services Sdn. Bhd.</w:t>
      </w:r>
      <w:r>
        <w:br/>
      </w:r>
      <w:r>
        <w:br/>
      </w:r>
      <w:r>
        <w:t xml:space="preserve">Name: Ms. Aisyah Rahman</w:t>
      </w:r>
      <w:r>
        <w:br/>
      </w:r>
      <w:r>
        <w:t xml:space="preserve">Designation: Managing Director</w:t>
      </w:r>
      <w:r>
        <w:br/>
      </w:r>
      <w:r>
        <w:t xml:space="preserve">Date: ____________________</w:t>
      </w:r>
    </w:p>
    <w:p>
      <w:pPr>
        <w:pStyle w:val="BodyText"/>
      </w:pPr>
      <w:r>
        <w:t xml:space="preserve">This Purchase Order (PO-ML-2025-00472) was generated electronically by Meridian Digital Solutions Sdn. Bhd., Kuala Lumpur, Malaysia. For inquiries, contact procurement@meridiansolutions.my or +60 3-4021 8800. This document is valid for a period of thirty (30) days from the date of issue. © 2025 Meridian Digital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Malaysia Kuala Lumpur</dc:title>
  <dc:creator/>
  <dc:language>en</dc:language>
  <cp:keywords/>
  <dcterms:created xsi:type="dcterms:W3CDTF">2026-10-10T06:48:55Z</dcterms:created>
  <dcterms:modified xsi:type="dcterms:W3CDTF">2026-10-10T06:48:55Z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