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Software</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PO Number: USM-2025-04782</w:t>
      </w:r>
    </w:p>
    <w:p>
      <w:pPr>
        <w:pStyle w:val="BodyText"/>
      </w:pPr>
      <w:r>
        <w:t xml:space="preserve">Date of Issue: June 12, 2025</w:t>
      </w:r>
    </w:p>
    <w:p>
      <w:pPr>
        <w:pStyle w:val="BodyText"/>
      </w:pPr>
      <w:r>
        <w:t xml:space="preserve">Valid Until: July 12, 2025</w:t>
      </w:r>
    </w:p>
    <w:p>
      <w:pPr>
        <w:pStyle w:val="BodyText"/>
      </w:pPr>
      <w:r>
        <w:t xml:space="preserve">Country of Operation: United States Miami</w:t>
      </w:r>
    </w:p>
    <w:bookmarkEnd w:id="20"/>
    <w:p>
      <w:pPr>
        <w:pStyle w:val="BodyText"/>
      </w:pPr>
      <w:r>
        <w:t xml:space="preserve">Vendor / Supplier Information</w:t>
      </w:r>
    </w:p>
    <w:p>
      <w:pPr>
        <w:pStyle w:val="BodyText"/>
      </w:pPr>
      <w:r>
        <w:rPr>
          <w:bCs/>
          <w:b/>
        </w:rPr>
        <w:t xml:space="preserve">Company:</w:t>
      </w:r>
      <w:r>
        <w:t xml:space="preserve"> </w:t>
      </w:r>
      <w:r>
        <w:t xml:space="preserve">CreativePro Software Solutions, Inc.</w:t>
      </w:r>
    </w:p>
    <w:p>
      <w:pPr>
        <w:pStyle w:val="BodyText"/>
      </w:pPr>
      <w:r>
        <w:rPr>
          <w:bCs/>
          <w:b/>
        </w:rPr>
        <w:t xml:space="preserve">Address:</w:t>
      </w:r>
      <w:r>
        <w:t xml:space="preserve"> </w:t>
      </w:r>
      <w:r>
        <w:t xml:space="preserve">4520 Technology Parkway, Suite 800, Austin, TX 78744, United States</w:t>
      </w:r>
    </w:p>
    <w:p>
      <w:pPr>
        <w:pStyle w:val="BodyText"/>
      </w:pPr>
      <w:r>
        <w:rPr>
          <w:bCs/>
          <w:b/>
        </w:rPr>
        <w:t xml:space="preserve">Contact:</w:t>
      </w:r>
      <w:r>
        <w:t xml:space="preserve"> </w:t>
      </w:r>
      <w:r>
        <w:t xml:space="preserve">procurement@creativepro.com</w:t>
      </w:r>
    </w:p>
    <w:p>
      <w:pPr>
        <w:pStyle w:val="BodyText"/>
      </w:pPr>
      <w:r>
        <w:rPr>
          <w:bCs/>
          <w:b/>
        </w:rPr>
        <w:t xml:space="preserve">Phone:</w:t>
      </w:r>
      <w:r>
        <w:t xml:space="preserve"> </w:t>
      </w:r>
      <w:r>
        <w:t xml:space="preserve">(512) 555-0198</w:t>
      </w:r>
    </w:p>
    <w:p>
      <w:pPr>
        <w:pStyle w:val="BodyText"/>
      </w:pPr>
      <w:r>
        <w:rPr>
          <w:bCs/>
          <w:b/>
        </w:rPr>
        <w:t xml:space="preserve">Tax ID (EIN):</w:t>
      </w:r>
      <w:r>
        <w:t xml:space="preserve"> </w:t>
      </w:r>
      <w:r>
        <w:t xml:space="preserve">84-2917365</w:t>
      </w:r>
    </w:p>
    <w:p>
      <w:pPr>
        <w:pStyle w:val="BodyText"/>
      </w:pPr>
      <w:r>
        <w:t xml:space="preserve">Bill To / Receiving Party</w:t>
      </w:r>
    </w:p>
    <w:p>
      <w:pPr>
        <w:pStyle w:val="BodyText"/>
      </w:pPr>
      <w:r>
        <w:rPr>
          <w:bCs/>
          <w:b/>
        </w:rPr>
        <w:t xml:space="preserve">Company:</w:t>
      </w:r>
      <w:r>
        <w:t xml:space="preserve"> </w:t>
      </w:r>
      <w:r>
        <w:t xml:space="preserve">Miami Media &amp; Production Group LLC</w:t>
      </w:r>
    </w:p>
    <w:p>
      <w:pPr>
        <w:pStyle w:val="BodyText"/>
      </w:pPr>
      <w:r>
        <w:rPr>
          <w:bCs/>
          <w:b/>
        </w:rPr>
        <w:t xml:space="preserve">Address:</w:t>
      </w:r>
      <w:r>
        <w:t xml:space="preserve"> </w:t>
      </w:r>
      <w:r>
        <w:t xml:space="preserve">1200 Biscayne Boulevard, Floor 22, Miami, FL 33132, United States Miami</w:t>
      </w:r>
    </w:p>
    <w:p>
      <w:pPr>
        <w:pStyle w:val="BodyText"/>
      </w:pPr>
      <w:r>
        <w:rPr>
          <w:bCs/>
          <w:b/>
        </w:rPr>
        <w:t xml:space="preserve">Contact:</w:t>
      </w:r>
      <w:r>
        <w:t xml:space="preserve"> </w:t>
      </w:r>
      <w:r>
        <w:t xml:space="preserve">purchasing@miamimediagroup.com</w:t>
      </w:r>
    </w:p>
    <w:p>
      <w:pPr>
        <w:pStyle w:val="BodyText"/>
      </w:pPr>
      <w:r>
        <w:rPr>
          <w:bCs/>
          <w:b/>
        </w:rPr>
        <w:t xml:space="preserve">Phone:</w:t>
      </w:r>
      <w:r>
        <w:t xml:space="preserve"> </w:t>
      </w:r>
      <w:r>
        <w:t xml:space="preserve">(305) 555-7842</w:t>
      </w:r>
    </w:p>
    <w:p>
      <w:pPr>
        <w:pStyle w:val="BodyText"/>
      </w:pPr>
      <w:r>
        <w:rPr>
          <w:bCs/>
          <w:b/>
        </w:rPr>
        <w:t xml:space="preserve">Tax ID (EIN):</w:t>
      </w:r>
      <w:r>
        <w:t xml:space="preserve"> </w:t>
      </w:r>
      <w:r>
        <w:t xml:space="preserve">59-8834210</w:t>
      </w:r>
    </w:p>
    <w:p>
      <w:pPr>
        <w:pStyle w:val="BodyText"/>
      </w:pPr>
      <w:r>
        <w:t xml:space="preserve">Purchase Order Line Items – Editor Software Suite</w:t>
      </w:r>
    </w:p>
    <w:p>
      <w:pPr>
        <w:pStyle w:val="BodyText"/>
      </w:pPr>
      <w:r>
        <w:t xml:space="preserve">This Purchase Order is issued by Miami Media &amp; Production Group LLC, headquartered in United States Miami, for the acquisition of a professional-grade</w:t>
      </w:r>
      <w:r>
        <w:t xml:space="preserve"> </w:t>
      </w:r>
      <w:r>
        <w:rPr>
          <w:bCs/>
          <w:b/>
        </w:rPr>
        <w:t xml:space="preserve">Editor</w:t>
      </w:r>
      <w:r>
        <w:t xml:space="preserve"> </w:t>
      </w:r>
      <w:r>
        <w:t xml:space="preserve">software suite. The Editor software referenced in this document is a comprehensive, multi-platform editing application designed for video, audio, and text content production. The Editor will be deployed across all production facilities located in the United States Miami metropolitan area, including the primary studio at Biscayne Boulevard and the satellite editing bay in Brickell Avenue.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Editor Pro Suite – Enterprise License (Perpetual, 50 seats) – Full video, audio, and text Editor capabilities</w:t>
            </w:r>
          </w:p>
        </w:tc>
        <w:tc>
          <w:tcPr/>
          <w:p>
            <w:pPr>
              <w:pStyle w:val="Compact"/>
              <w:jc w:val="left"/>
            </w:pPr>
            <w:r>
              <w:t xml:space="preserve">50</w:t>
            </w:r>
          </w:p>
        </w:tc>
        <w:tc>
          <w:tcPr/>
          <w:p>
            <w:pPr>
              <w:pStyle w:val="Compact"/>
              <w:jc w:val="left"/>
            </w:pPr>
            <w:r>
              <w:t xml:space="preserve">$2,450.00</w:t>
            </w:r>
          </w:p>
        </w:tc>
        <w:tc>
          <w:tcPr/>
          <w:p>
            <w:pPr>
              <w:pStyle w:val="Compact"/>
              <w:jc w:val="left"/>
            </w:pPr>
            <w:r>
              <w:t xml:space="preserve">$122,500.00</w:t>
            </w:r>
          </w:p>
        </w:tc>
      </w:tr>
      <w:tr>
        <w:tc>
          <w:tcPr/>
          <w:p>
            <w:pPr>
              <w:pStyle w:val="Compact"/>
              <w:jc w:val="left"/>
            </w:pPr>
            <w:r>
              <w:t xml:space="preserve">2</w:t>
            </w:r>
          </w:p>
        </w:tc>
        <w:tc>
          <w:tcPr/>
          <w:p>
            <w:pPr>
              <w:pStyle w:val="Compact"/>
              <w:jc w:val="left"/>
            </w:pPr>
            <w:r>
              <w:t xml:space="preserve">Editor Pro Suite – Annual Maintenance &amp; Update Subscription (50 seats, Year 1)</w:t>
            </w:r>
          </w:p>
        </w:tc>
        <w:tc>
          <w:tcPr/>
          <w:p>
            <w:pPr>
              <w:pStyle w:val="Compact"/>
              <w:jc w:val="left"/>
            </w:pPr>
            <w:r>
              <w:t xml:space="preserve">50</w:t>
            </w:r>
          </w:p>
        </w:tc>
        <w:tc>
          <w:tcPr/>
          <w:p>
            <w:pPr>
              <w:pStyle w:val="Compact"/>
              <w:jc w:val="left"/>
            </w:pPr>
            <w:r>
              <w:t xml:space="preserve">$480.00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Editor Plugin Pack – Advanced Color Grading &amp; Motion Graphics Module</w:t>
            </w:r>
          </w:p>
        </w:tc>
        <w:tc>
          <w:tcPr/>
          <w:p>
            <w:pPr>
              <w:pStyle w:val="Compact"/>
              <w:jc w:val="left"/>
            </w:pPr>
            <w:r>
              <w:t xml:space="preserve">50</w:t>
            </w:r>
          </w:p>
        </w:tc>
        <w:tc>
          <w:tcPr/>
          <w:p>
            <w:pPr>
              <w:pStyle w:val="Compact"/>
              <w:jc w:val="left"/>
            </w:pPr>
            <w:r>
              <w:t xml:space="preserve">$320.00</w:t>
            </w:r>
          </w:p>
        </w:tc>
        <w:tc>
          <w:tcPr/>
          <w:p>
            <w:pPr>
              <w:pStyle w:val="Compact"/>
              <w:jc w:val="left"/>
            </w:pPr>
            <w:r>
              <w:t xml:space="preserve">$16,000.00</w:t>
            </w:r>
          </w:p>
        </w:tc>
      </w:tr>
      <w:tr>
        <w:tc>
          <w:tcPr/>
          <w:p>
            <w:pPr>
              <w:pStyle w:val="Compact"/>
              <w:jc w:val="left"/>
            </w:pPr>
            <w:r>
              <w:t xml:space="preserve">4</w:t>
            </w:r>
          </w:p>
        </w:tc>
        <w:tc>
          <w:tcPr/>
          <w:p>
            <w:pPr>
              <w:pStyle w:val="Compact"/>
              <w:jc w:val="left"/>
            </w:pPr>
            <w:r>
              <w:t xml:space="preserve">Editor Hardware Acceleration Card (GPU) – Compatible with Editor Pro Suite v12</w:t>
            </w:r>
          </w:p>
        </w:tc>
        <w:tc>
          <w:tcPr/>
          <w:p>
            <w:pPr>
              <w:pStyle w:val="Compact"/>
              <w:jc w:val="left"/>
            </w:pPr>
            <w:r>
              <w:t xml:space="preserve">25</w:t>
            </w:r>
          </w:p>
        </w:tc>
        <w:tc>
          <w:tcPr/>
          <w:p>
            <w:pPr>
              <w:pStyle w:val="Compact"/>
              <w:jc w:val="left"/>
            </w:pPr>
            <w:r>
              <w:t xml:space="preserve">$1,899.00</w:t>
            </w:r>
          </w:p>
        </w:tc>
        <w:tc>
          <w:tcPr/>
          <w:p>
            <w:pPr>
              <w:pStyle w:val="Compact"/>
              <w:jc w:val="left"/>
            </w:pPr>
            <w:r>
              <w:t xml:space="preserve">$47,475.00</w:t>
            </w:r>
          </w:p>
        </w:tc>
      </w:tr>
      <w:tr>
        <w:tc>
          <w:tcPr/>
          <w:p>
            <w:pPr>
              <w:pStyle w:val="Compact"/>
              <w:jc w:val="left"/>
            </w:pPr>
            <w:r>
              <w:t xml:space="preserve">5</w:t>
            </w:r>
          </w:p>
        </w:tc>
        <w:tc>
          <w:tcPr/>
          <w:p>
            <w:pPr>
              <w:pStyle w:val="Compact"/>
              <w:jc w:val="left"/>
            </w:pPr>
            <w:r>
              <w:t xml:space="preserve">On-Site Installation &amp; Configuration Service – United States Miami (3-day deployment)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6</w:t>
            </w:r>
          </w:p>
        </w:tc>
        <w:tc>
          <w:tcPr/>
          <w:p>
            <w:pPr>
              <w:pStyle w:val="Compact"/>
              <w:jc w:val="left"/>
            </w:pPr>
            <w:r>
              <w:t xml:space="preserve">Editor User Training Program – 2-day workshop for 50 staff members in Miami, FL</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7</w:t>
            </w:r>
          </w:p>
        </w:tc>
        <w:tc>
          <w:tcPr/>
          <w:p>
            <w:pPr>
              <w:pStyle w:val="Compact"/>
              <w:jc w:val="left"/>
            </w:pPr>
            <w:r>
              <w:t xml:space="preserve">Editor Technical Support – Priority 24/7 Hotline (Annual, United States Miami region)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4"/>
          </w:tcPr>
          <w:p>
            <w:pPr>
              <w:pStyle w:val="Compact"/>
              <w:jc w:val="left"/>
            </w:pPr>
            <w:r>
              <w:t xml:space="preserve">Subtotal</w:t>
            </w:r>
          </w:p>
        </w:tc>
        <w:tc>
          <w:tcPr/>
          <w:p>
            <w:pPr>
              <w:pStyle w:val="Compact"/>
              <w:jc w:val="left"/>
            </w:pPr>
            <w:r>
              <w:t xml:space="preserve">$236,675.00</w:t>
            </w:r>
          </w:p>
        </w:tc>
      </w:tr>
      <w:tr>
        <w:tc>
          <w:tcPr>
            <w:gridSpan w:val="4"/>
          </w:tcPr>
          <w:p>
            <w:pPr>
              <w:pStyle w:val="Compact"/>
              <w:jc w:val="left"/>
            </w:pPr>
            <w:r>
              <w:t xml:space="preserve">Florida State Sales Tax (6.5%)</w:t>
            </w:r>
          </w:p>
        </w:tc>
        <w:tc>
          <w:tcPr/>
          <w:p>
            <w:pPr>
              <w:pStyle w:val="Compact"/>
              <w:jc w:val="left"/>
            </w:pPr>
            <w:r>
              <w:t xml:space="preserve">$15,383.88</w:t>
            </w:r>
          </w:p>
        </w:tc>
      </w:tr>
      <w:tr>
        <w:tc>
          <w:tcPr>
            <w:gridSpan w:val="4"/>
          </w:tcPr>
          <w:p>
            <w:pPr>
              <w:pStyle w:val="Compact"/>
              <w:jc w:val="left"/>
            </w:pPr>
            <w:r>
              <w:t xml:space="preserve">Miami-Dade County Surcharge (0.5%)</w:t>
            </w:r>
          </w:p>
        </w:tc>
        <w:tc>
          <w:tcPr/>
          <w:p>
            <w:pPr>
              <w:pStyle w:val="Compact"/>
              <w:jc w:val="left"/>
            </w:pPr>
            <w:r>
              <w:t xml:space="preserve">$1,183.38</w:t>
            </w:r>
          </w:p>
        </w:tc>
      </w:tr>
      <w:tr>
        <w:tc>
          <w:tcPr>
            <w:gridSpan w:val="4"/>
          </w:tcPr>
          <w:p>
            <w:pPr>
              <w:pStyle w:val="Compact"/>
              <w:jc w:val="left"/>
            </w:pPr>
            <w:r>
              <w:rPr>
                <w:bCs/>
                <w:b/>
              </w:rPr>
              <w:t xml:space="preserve">TOTAL AMOUNT DUE (USD)</w:t>
            </w:r>
          </w:p>
        </w:tc>
        <w:tc>
          <w:tcPr/>
          <w:p>
            <w:pPr>
              <w:pStyle w:val="Compact"/>
              <w:jc w:val="left"/>
            </w:pPr>
            <w:r>
              <w:rPr>
                <w:bCs/>
                <w:b/>
              </w:rPr>
              <w:t xml:space="preserve">$253,242.26</w:t>
            </w:r>
          </w:p>
        </w:tc>
      </w:tr>
    </w:tbl>
    <w:p>
      <w:pPr>
        <w:pStyle w:val="BodyText"/>
      </w:pPr>
      <w:r>
        <w:t xml:space="preserve">Terms and Conditions</w:t>
      </w:r>
    </w:p>
    <w:p>
      <w:pPr>
        <w:pStyle w:val="BodyText"/>
      </w:pPr>
      <w:r>
        <w:t xml:space="preserve">1.</w:t>
      </w:r>
      <w:r>
        <w:t xml:space="preserve"> </w:t>
      </w:r>
      <w:r>
        <w:rPr>
          <w:bCs/>
          <w:b/>
        </w:rPr>
        <w:t xml:space="preserve">Delivery:</w:t>
      </w:r>
      <w:r>
        <w:t xml:space="preserve"> </w:t>
      </w:r>
      <w:r>
        <w:t xml:space="preserve">All software licenses, hardware components, and digital Editor installation media shall be delivered to the receiving address in United States Miami no later than June 30, 2025. The Editor hardware acceleration cards must arrive at the Miami facility in original, unopened packaging with all manufacturer documentation included.</w:t>
      </w:r>
    </w:p>
    <w:p>
      <w:pPr>
        <w:pStyle w:val="BodyText"/>
      </w:pPr>
      <w:r>
        <w:t xml:space="preserve">2.</w:t>
      </w:r>
      <w:r>
        <w:t xml:space="preserve"> </w:t>
      </w:r>
      <w:r>
        <w:rPr>
          <w:bCs/>
          <w:b/>
        </w:rPr>
        <w:t xml:space="preserve">Payment Terms:</w:t>
      </w:r>
      <w:r>
        <w:t xml:space="preserve"> </w:t>
      </w:r>
      <w:r>
        <w:t xml:space="preserve">Net 30 days from the date of this Purchase Order. Payment shall be made via wire transfer to the vendor account specified on the accompanying invoice. A 1.5% monthly late fee shall apply to any balance not settled within the agreed-upon period.</w:t>
      </w:r>
    </w:p>
    <w:p>
      <w:pPr>
        <w:pStyle w:val="BodyText"/>
      </w:pPr>
      <w:r>
        <w:t xml:space="preserve">3.</w:t>
      </w:r>
      <w:r>
        <w:t xml:space="preserve"> </w:t>
      </w:r>
      <w:r>
        <w:rPr>
          <w:bCs/>
          <w:b/>
        </w:rPr>
        <w:t xml:space="preserve">Warranty:</w:t>
      </w:r>
      <w:r>
        <w:t xml:space="preserve"> </w:t>
      </w:r>
      <w:r>
        <w:t xml:space="preserve">The Editor software suite carries a standard 12-month manufacturer warranty from the date of activation. Hardware components (GPU cards) carry a 3-year limited warranty. All warranty claims for items deployed in United States Miami shall be processed through the vendor's regional support center in Miami, FL.</w:t>
      </w:r>
    </w:p>
    <w:p>
      <w:pPr>
        <w:pStyle w:val="BodyText"/>
      </w:pPr>
      <w:r>
        <w:t xml:space="preserve">4.</w:t>
      </w:r>
      <w:r>
        <w:t xml:space="preserve"> </w:t>
      </w:r>
      <w:r>
        <w:rPr>
          <w:bCs/>
          <w:b/>
        </w:rPr>
        <w:t xml:space="preserve">Acceptance:</w:t>
      </w:r>
      <w:r>
        <w:t xml:space="preserve"> </w:t>
      </w:r>
      <w:r>
        <w:t xml:space="preserve">Miami Media &amp; Production Group LLC shall have ten (10) business days following delivery to inspect and test the Editor software and associated hardware. Any defects, licensing discrepancies, or non-conformities must be reported in writing to the vendor within this acceptance window.</w:t>
      </w:r>
    </w:p>
    <w:p>
      <w:pPr>
        <w:pStyle w:val="BodyText"/>
      </w:pPr>
      <w:r>
        <w:t xml:space="preserve">5.</w:t>
      </w:r>
      <w:r>
        <w:t xml:space="preserve"> </w:t>
      </w:r>
      <w:r>
        <w:rPr>
          <w:bCs/>
          <w:b/>
        </w:rPr>
        <w:t xml:space="preserve">Intellectual Property:</w:t>
      </w:r>
      <w:r>
        <w:t xml:space="preserve"> </w:t>
      </w:r>
      <w:r>
        <w:t xml:space="preserve">All Editor software, plugins, and associated documentation remain the exclusive intellectual property of CreativePro Software Solutions, Inc. The license granted herein is non-transferable and restricted to use within the United States Miami operational footprint of the purchasing entity.</w:t>
      </w:r>
    </w:p>
    <w:p>
      <w:pPr>
        <w:pStyle w:val="BodyText"/>
      </w:pPr>
      <w:r>
        <w:t xml:space="preserve">6.</w:t>
      </w:r>
      <w:r>
        <w:t xml:space="preserve"> </w:t>
      </w:r>
      <w:r>
        <w:rPr>
          <w:bCs/>
          <w:b/>
        </w:rPr>
        <w:t xml:space="preserve">Governing Law:</w:t>
      </w:r>
      <w:r>
        <w:t xml:space="preserve"> </w:t>
      </w:r>
      <w:r>
        <w:t xml:space="preserve">This Purchase Order shall be governed by and construed in accordance with the laws of the State of Florida, United States. Any disputes arising from this Purchase Order related to the Editor software procurement shall be resolved in the courts of Miami-Dade County, United States Miami.</w:t>
      </w:r>
    </w:p>
    <w:p>
      <w:pPr>
        <w:pStyle w:val="BodyText"/>
      </w:pPr>
      <w:r>
        <w:t xml:space="preserve">7.</w:t>
      </w:r>
      <w:r>
        <w:t xml:space="preserve"> </w:t>
      </w:r>
      <w:r>
        <w:rPr>
          <w:bCs/>
          <w:b/>
        </w:rPr>
        <w:t xml:space="preserve">Force Majeure:</w:t>
      </w:r>
      <w:r>
        <w:t xml:space="preserve"> </w:t>
      </w:r>
      <w:r>
        <w:t xml:space="preserve">Neither party shall be liable for delays caused by events beyond reasonable control, including but not limited to natural disasters affecting the United States Miami region, government-mandated shutdowns, or supply chain disruptions.</w:t>
      </w:r>
    </w:p>
    <w:p>
      <w:pPr>
        <w:pStyle w:val="BodyText"/>
      </w:pPr>
      <w:r>
        <w:t xml:space="preserve">8.</w:t>
      </w:r>
      <w:r>
        <w:t xml:space="preserve"> </w:t>
      </w:r>
      <w:r>
        <w:rPr>
          <w:bCs/>
          <w:b/>
        </w:rPr>
        <w:t xml:space="preserve">Confidentiality:</w:t>
      </w:r>
      <w:r>
        <w:t xml:space="preserve"> </w:t>
      </w:r>
      <w:r>
        <w:t xml:space="preserve">Both parties agree to maintain strict confidentiality regarding the terms, pricing, and technical specifications outlined in this Purchase Order. The Editor software configuration details and deployment architecture for the United States Miami facility shall be treated as proprietary information.</w:t>
      </w:r>
    </w:p>
    <w:p>
      <w:pPr>
        <w:pStyle w:val="BodyText"/>
      </w:pPr>
      <w:r>
        <w:t xml:space="preserve">Authorized Signatures</w:t>
      </w:r>
    </w:p>
    <w:p>
      <w:pPr>
        <w:pStyle w:val="BodyText"/>
      </w:pPr>
      <w:r>
        <w:t xml:space="preserve">By signing below, both parties acknowledge and agree to all terms, conditions, and line items specified in this Purchase Order for the Editor software suite to be deployed in United States Miami.</w:t>
      </w:r>
    </w:p>
    <w:p>
      <w:pPr>
        <w:pStyle w:val="BodyText"/>
      </w:pPr>
      <w:r>
        <w:rPr>
          <w:bCs/>
          <w:b/>
        </w:rPr>
        <w:t xml:space="preserve">For Miami Media &amp; Production Group LLC (Buyer)</w:t>
      </w:r>
    </w:p>
    <w:p>
      <w:pPr>
        <w:pStyle w:val="BodyText"/>
      </w:pPr>
      <w:r>
        <w:t xml:space="preserve">Name:</w:t>
      </w:r>
      <w:r>
        <w:t xml:space="preserve"> </w:t>
      </w:r>
      <w:r>
        <w:rPr>
          <w:bCs/>
          <w:b/>
        </w:rPr>
        <w:t xml:space="preserve">Dr. Elena Vasquez-Ramos</w:t>
      </w:r>
    </w:p>
    <w:p>
      <w:pPr>
        <w:pStyle w:val="BodyText"/>
      </w:pPr>
      <w:r>
        <w:t xml:space="preserve">Title: Chief Procurement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CreativePro Software Solutions, Inc. (Vendor)</w:t>
      </w:r>
    </w:p>
    <w:p>
      <w:pPr>
        <w:pStyle w:val="BodyText"/>
      </w:pPr>
      <w:r>
        <w:t xml:space="preserve">Name:</w:t>
      </w:r>
      <w:r>
        <w:t xml:space="preserve"> </w:t>
      </w:r>
      <w:r>
        <w:rPr>
          <w:bCs/>
          <w:b/>
        </w:rPr>
        <w:t xml:space="preserve">Mr. Jonathan A. Whitfield</w:t>
      </w:r>
    </w:p>
    <w:p>
      <w:pPr>
        <w:pStyle w:val="BodyText"/>
      </w:pPr>
      <w:r>
        <w:t xml:space="preserve">Title: Director of Enterprise Sales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USM-2025-04782) was generated by Miami Media &amp; Production Group LLC, United States Miami, FL. It constitutes a binding procurement document for the Editor software suite and associated services. All references to "Editor" in this document pertain to the CreativePro Editor Pro Suite v12.4 and its licensed modules. This document is valid only for the United States Miami operational region. Unauthorized reproduction or distribution of this Purchase Order is strictly prohibited. For inquiries, contact the Procurement Department at purchasing@miamimediagroup.com or (305) 555-7842, Miami, FL 33132,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Software - United States Miami</dc:title>
  <dc:creator/>
  <dc:language>en</dc:language>
  <cp:keywords/>
  <dcterms:created xsi:type="dcterms:W3CDTF">2026-10-10T03:39:20Z</dcterms:created>
  <dcterms:modified xsi:type="dcterms:W3CDTF">2026-10-10T03:39:20Z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