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Education</w:t>
      </w:r>
      <w:r>
        <w:t xml:space="preserve"> </w:t>
      </w:r>
      <w:r>
        <w:t xml:space="preserve">Administrator</w:t>
      </w:r>
      <w:r>
        <w:t xml:space="preserve"> </w:t>
      </w:r>
      <w:r>
        <w:t xml:space="preserve">-</w:t>
      </w:r>
      <w:r>
        <w:t xml:space="preserve"> </w:t>
      </w:r>
      <w:r>
        <w:t xml:space="preserve">Argentina</w:t>
      </w:r>
      <w:r>
        <w:t xml:space="preserve"> </w:t>
      </w:r>
      <w:r>
        <w:t xml:space="preserve">Buenos</w:t>
      </w:r>
      <w:r>
        <w:t xml:space="preserve"> </w:t>
      </w:r>
      <w:r>
        <w:t xml:space="preserve">Aires</w:t>
      </w:r>
    </w:p>
    <w:bookmarkStart w:id="20" w:name="purchase-order"/>
    <w:p>
      <w:pPr>
        <w:pStyle w:val="Heading1"/>
      </w:pPr>
      <w:r>
        <w:t xml:space="preserve">PURCHASE ORDER</w:t>
      </w:r>
    </w:p>
    <w:p>
      <w:pPr>
        <w:pStyle w:val="FirstParagraph"/>
      </w:pPr>
      <w:r>
        <w:t xml:space="preserve">Formal Procurement Document – Professional Services Contract</w:t>
      </w:r>
    </w:p>
    <w:p>
      <w:pPr>
        <w:pStyle w:val="BodyText"/>
      </w:pPr>
      <w:r>
        <w:rPr>
          <w:bCs/>
          <w:b/>
        </w:rPr>
        <w:t xml:space="preserve">Ref: PO-BA-2025-0047-EA</w:t>
      </w:r>
    </w:p>
    <w:bookmarkEnd w:id="20"/>
    <w:p>
      <w:pPr>
        <w:pStyle w:val="BodyText"/>
      </w:pPr>
      <w:r>
        <w:rPr>
          <w:bCs/>
          <w:b/>
        </w:rPr>
        <w:t xml:space="preserve">Issued By:</w:t>
      </w:r>
    </w:p>
    <w:p>
      <w:pPr>
        <w:pStyle w:val="BodyText"/>
      </w:pPr>
      <w:r>
        <w:t xml:space="preserve">Ministerio de Educación de la Ciudad Autónoma de Buenos Aires</w:t>
      </w:r>
    </w:p>
    <w:p>
      <w:pPr>
        <w:pStyle w:val="BodyText"/>
      </w:pPr>
      <w:r>
        <w:t xml:space="preserve">Av. de Mayo 1300, Piso 12</w:t>
      </w:r>
    </w:p>
    <w:p>
      <w:pPr>
        <w:pStyle w:val="BodyText"/>
      </w:pPr>
      <w:r>
        <w:t xml:space="preserve">C1054AAL – Buenos Aires, Argentina</w:t>
      </w:r>
    </w:p>
    <w:p>
      <w:pPr>
        <w:pStyle w:val="BodyText"/>
      </w:pPr>
      <w:r>
        <w:t xml:space="preserve">CUIT: 30-70985432-1</w:t>
      </w:r>
    </w:p>
    <w:p>
      <w:pPr>
        <w:pStyle w:val="BodyText"/>
      </w:pPr>
      <w:r>
        <w:rPr>
          <w:bCs/>
          <w:b/>
        </w:rPr>
        <w:t xml:space="preserve">Purchase Order No.:</w:t>
      </w:r>
      <w:r>
        <w:t xml:space="preserve"> </w:t>
      </w:r>
      <w:r>
        <w:t xml:space="preserve">PO-BA-2025-0047-EA</w:t>
      </w:r>
    </w:p>
    <w:p>
      <w:pPr>
        <w:pStyle w:val="BodyText"/>
      </w:pPr>
      <w:r>
        <w:rPr>
          <w:bCs/>
          <w:b/>
        </w:rPr>
        <w:t xml:space="preserve">Date of Issue:</w:t>
      </w:r>
      <w:r>
        <w:t xml:space="preserve"> </w:t>
      </w:r>
      <w:r>
        <w:t xml:space="preserve">15 de Junio de 2025</w:t>
      </w:r>
    </w:p>
    <w:p>
      <w:pPr>
        <w:pStyle w:val="BodyText"/>
      </w:pPr>
      <w:r>
        <w:rPr>
          <w:bCs/>
          <w:b/>
        </w:rPr>
        <w:t xml:space="preserve">Required By:</w:t>
      </w:r>
      <w:r>
        <w:t xml:space="preserve"> </w:t>
      </w:r>
      <w:r>
        <w:t xml:space="preserve">01 de Agosto de 2025</w:t>
      </w:r>
    </w:p>
    <w:p>
      <w:pPr>
        <w:pStyle w:val="BodyText"/>
      </w:pPr>
      <w:r>
        <w:rPr>
          <w:bCs/>
          <w:b/>
        </w:rPr>
        <w:t xml:space="preserve">Valid Until:</w:t>
      </w:r>
      <w:r>
        <w:t xml:space="preserve"> </w:t>
      </w:r>
      <w:r>
        <w:t xml:space="preserve">31 de Julio de 2025</w:t>
      </w:r>
    </w:p>
    <w:p>
      <w:pPr>
        <w:pStyle w:val="BodyText"/>
      </w:pPr>
      <w:r>
        <w:t xml:space="preserve">BILL TO / SERVICE PROVIDER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w:t>
            </w:r>
            <w:r>
              <w:t xml:space="preserve"> </w:t>
            </w:r>
            <w:r>
              <w:t xml:space="preserve">EducaPro Servicios Administrativos S.A.</w:t>
            </w:r>
          </w:p>
        </w:tc>
        <w:tc>
          <w:tcPr/>
          <w:p>
            <w:pPr>
              <w:pStyle w:val="Compact"/>
              <w:jc w:val="left"/>
            </w:pPr>
            <w:r>
              <w:rPr>
                <w:bCs/>
                <w:b/>
              </w:rPr>
              <w:t xml:space="preserve">CUIT:</w:t>
            </w:r>
            <w:r>
              <w:t xml:space="preserve"> </w:t>
            </w:r>
            <w:r>
              <w:t xml:space="preserve">30-71234567-8</w:t>
            </w:r>
          </w:p>
        </w:tc>
      </w:tr>
      <w:tr>
        <w:tc>
          <w:tcPr/>
          <w:p>
            <w:pPr>
              <w:pStyle w:val="Compact"/>
              <w:jc w:val="left"/>
            </w:pPr>
            <w:r>
              <w:rPr>
                <w:bCs/>
                <w:b/>
              </w:rPr>
              <w:t xml:space="preserve">Address:</w:t>
            </w:r>
            <w:r>
              <w:t xml:space="preserve"> </w:t>
            </w:r>
            <w:r>
              <w:t xml:space="preserve">Av. Corrientes 2450, Piso 8, C1043AAB, Buenos Aires, Argentina</w:t>
            </w:r>
          </w:p>
        </w:tc>
        <w:tc>
          <w:tcPr/>
          <w:p>
            <w:pPr>
              <w:pStyle w:val="Compact"/>
              <w:jc w:val="left"/>
            </w:pPr>
            <w:r>
              <w:rPr>
                <w:bCs/>
                <w:b/>
              </w:rPr>
              <w:t xml:space="preserve">Contact:</w:t>
            </w:r>
            <w:r>
              <w:t xml:space="preserve"> </w:t>
            </w:r>
            <w:r>
              <w:t xml:space="preserve">Lic. María Fernández, Gerente Comercial</w:t>
            </w:r>
          </w:p>
        </w:tc>
      </w:tr>
      <w:tr>
        <w:tc>
          <w:tcPr/>
          <w:p>
            <w:pPr>
              <w:pStyle w:val="Compact"/>
              <w:jc w:val="left"/>
            </w:pPr>
            <w:r>
              <w:rPr>
                <w:bCs/>
                <w:b/>
              </w:rPr>
              <w:t xml:space="preserve">Email:</w:t>
            </w:r>
            <w:r>
              <w:t xml:space="preserve"> </w:t>
            </w:r>
            <w:r>
              <w:t xml:space="preserve">compras@educapro.com.ar</w:t>
            </w:r>
          </w:p>
        </w:tc>
        <w:tc>
          <w:tcPr/>
          <w:p>
            <w:pPr>
              <w:pStyle w:val="Compact"/>
              <w:jc w:val="left"/>
            </w:pPr>
            <w:r>
              <w:rPr>
                <w:bCs/>
                <w:b/>
              </w:rPr>
              <w:t xml:space="preserve">Tel:</w:t>
            </w:r>
            <w:r>
              <w:t xml:space="preserve"> </w:t>
            </w:r>
            <w:r>
              <w:t xml:space="preserve">+54 11 4321-5678</w:t>
            </w:r>
          </w:p>
        </w:tc>
      </w:tr>
    </w:tbl>
    <w:p>
      <w:pPr>
        <w:pStyle w:val="BodyText"/>
      </w:pPr>
      <w:r>
        <w:t xml:space="preserve">SHIP TO / SERVICE LOCATION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Institution:</w:t>
            </w:r>
            <w:r>
              <w:t xml:space="preserve"> </w:t>
            </w:r>
            <w:r>
              <w:t xml:space="preserve">Dirección General de Educación Inicial y Primaria</w:t>
            </w:r>
          </w:p>
        </w:tc>
        <w:tc>
          <w:tcPr/>
          <w:p>
            <w:pPr>
              <w:pStyle w:val="Compact"/>
              <w:jc w:val="left"/>
            </w:pPr>
            <w:r>
              <w:rPr>
                <w:bCs/>
                <w:b/>
              </w:rPr>
              <w:t xml:space="preserve">Location:</w:t>
            </w:r>
            <w:r>
              <w:t xml:space="preserve"> </w:t>
            </w:r>
            <w:r>
              <w:t xml:space="preserve">Buenos Aires, Argentina</w:t>
            </w:r>
          </w:p>
        </w:tc>
      </w:tr>
      <w:tr>
        <w:tc>
          <w:tcPr/>
          <w:p>
            <w:pPr>
              <w:pStyle w:val="Compact"/>
              <w:jc w:val="left"/>
            </w:pPr>
            <w:r>
              <w:rPr>
                <w:bCs/>
                <w:b/>
              </w:rPr>
              <w:t xml:space="preserve">Address:</w:t>
            </w:r>
            <w:r>
              <w:t xml:space="preserve"> </w:t>
            </w:r>
            <w:r>
              <w:t xml:space="preserve">Av. de Mayo 1300, C1054AAL, Ciudad Autónoma de Buenos Aires</w:t>
            </w:r>
          </w:p>
        </w:tc>
        <w:tc>
          <w:tcPr/>
          <w:p>
            <w:pPr>
              <w:pStyle w:val="Compact"/>
              <w:jc w:val="left"/>
            </w:pPr>
            <w:r>
              <w:rPr>
                <w:bCs/>
                <w:b/>
              </w:rPr>
              <w:t xml:space="preserve">Attn:</w:t>
            </w:r>
            <w:r>
              <w:t xml:space="preserve"> </w:t>
            </w:r>
            <w:r>
              <w:t xml:space="preserve">Dr. Roberto Sánchez, Director General</w:t>
            </w:r>
          </w:p>
        </w:tc>
      </w:tr>
    </w:tbl>
    <w:p>
      <w:pPr>
        <w:pStyle w:val="BodyText"/>
      </w:pPr>
      <w:r>
        <w:t xml:space="preserve">DESCRIPTION OF PURCHASE – EDUCATION ADMINISTRATOR SERVICES</w:t>
      </w:r>
    </w:p>
    <w:p>
      <w:pPr>
        <w:pStyle w:val="BodyText"/>
      </w:pPr>
      <w:r>
        <w:t xml:space="preserve">This</w:t>
      </w:r>
      <w:r>
        <w:t xml:space="preserve"> </w:t>
      </w:r>
      <w:r>
        <w:t xml:space="preserve">Purchase Order</w:t>
      </w:r>
      <w:r>
        <w:t xml:space="preserve"> </w:t>
      </w:r>
      <w:r>
        <w:t xml:space="preserve">is issued by the Ministry of Education of the Autonomous City of Buenos Aires to formally procure the professional services of a qualified</w:t>
      </w:r>
      <w:r>
        <w:t xml:space="preserve"> </w:t>
      </w:r>
      <w:r>
        <w:t xml:space="preserve">Education Administrator</w:t>
      </w:r>
      <w:r>
        <w:t xml:space="preserve"> </w:t>
      </w:r>
      <w:r>
        <w:t xml:space="preserve">for the academic year 2025–2026. The</w:t>
      </w:r>
      <w:r>
        <w:t xml:space="preserve"> </w:t>
      </w:r>
      <w:r>
        <w:t xml:space="preserve">Education Administrator</w:t>
      </w:r>
      <w:r>
        <w:t xml:space="preserve"> </w:t>
      </w:r>
      <w:r>
        <w:t xml:space="preserve">shall be responsible for the strategic planning, operational management, and regulatory compliance oversight of educational programs across all public schools in the</w:t>
      </w:r>
      <w:r>
        <w:t xml:space="preserve"> </w:t>
      </w:r>
      <w:r>
        <w:t xml:space="preserve">Argentina Buenos Aires</w:t>
      </w:r>
      <w:r>
        <w:t xml:space="preserve"> </w:t>
      </w:r>
      <w:r>
        <w:t xml:space="preserve">metropolitan jurisdiction. The scope of this engagement is governed by the national education framework (Ley de Educación Nacional N° 26.206) and the specific municipal regulations of the Ciudad Autónoma de Buenos Aires.</w:t>
      </w:r>
    </w:p>
    <w:p>
      <w:pPr>
        <w:pStyle w:val="BodyText"/>
      </w:pPr>
      <w:r>
        <w:t xml:space="preserve">LINE ITEMS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(ARS)</w:t>
            </w:r>
          </w:p>
        </w:tc>
        <w:tc>
          <w:tcPr/>
          <w:p>
            <w:pPr>
              <w:pStyle w:val="Compact"/>
              <w:jc w:val="left"/>
            </w:pPr>
            <w:r>
              <w:t xml:space="preserve">Subtotal (ARS)</w:t>
            </w:r>
          </w:p>
        </w:tc>
      </w:tr>
      <w:tr>
        <w:tc>
          <w:tcPr/>
          <w:p>
            <w:pPr>
              <w:pStyle w:val="Compact"/>
              <w:jc w:val="left"/>
            </w:pPr>
            <w:r>
              <w:t xml:space="preserve">1</w:t>
            </w:r>
          </w:p>
        </w:tc>
        <w:tc>
          <w:tcPr/>
          <w:p>
            <w:pPr>
              <w:pStyle w:val="Compact"/>
              <w:jc w:val="left"/>
            </w:pPr>
            <w:r>
              <w:t xml:space="preserve">Full-time Education Administrator – Strategic Planning &amp; Curriculum Oversight (12 months)</w:t>
            </w:r>
          </w:p>
        </w:tc>
        <w:tc>
          <w:tcPr/>
          <w:p>
            <w:pPr>
              <w:pStyle w:val="Compact"/>
              <w:jc w:val="left"/>
            </w:pPr>
            <w:r>
              <w:t xml:space="preserve">1</w:t>
            </w:r>
          </w:p>
        </w:tc>
        <w:tc>
          <w:tcPr/>
          <w:p>
            <w:pPr>
              <w:pStyle w:val="Compact"/>
              <w:jc w:val="left"/>
            </w:pPr>
            <w:r>
              <w:t xml:space="preserve">4,800,000.00</w:t>
            </w:r>
          </w:p>
        </w:tc>
        <w:tc>
          <w:tcPr/>
          <w:p>
            <w:pPr>
              <w:pStyle w:val="Compact"/>
              <w:jc w:val="left"/>
            </w:pPr>
            <w:r>
              <w:t xml:space="preserve">4,800,000.00</w:t>
            </w:r>
          </w:p>
        </w:tc>
      </w:tr>
      <w:tr>
        <w:tc>
          <w:tcPr/>
          <w:p>
            <w:pPr>
              <w:pStyle w:val="Compact"/>
              <w:jc w:val="left"/>
            </w:pPr>
            <w:r>
              <w:t xml:space="preserve">2</w:t>
            </w:r>
          </w:p>
        </w:tc>
        <w:tc>
          <w:tcPr/>
          <w:p>
            <w:pPr>
              <w:pStyle w:val="Compact"/>
              <w:jc w:val="left"/>
            </w:pPr>
            <w:r>
              <w:t xml:space="preserve">Education Administrator – Staff Supervision &amp; HR Compliance (Argentina Buenos Aires labor regulations)</w:t>
            </w:r>
          </w:p>
        </w:tc>
        <w:tc>
          <w:tcPr/>
          <w:p>
            <w:pPr>
              <w:pStyle w:val="Compact"/>
              <w:jc w:val="left"/>
            </w:pPr>
            <w:r>
              <w:t xml:space="preserve">1</w:t>
            </w:r>
          </w:p>
        </w:tc>
        <w:tc>
          <w:tcPr/>
          <w:p>
            <w:pPr>
              <w:pStyle w:val="Compact"/>
              <w:jc w:val="left"/>
            </w:pPr>
            <w:r>
              <w:t xml:space="preserve">3,200,000.00</w:t>
            </w:r>
          </w:p>
        </w:tc>
        <w:tc>
          <w:tcPr/>
          <w:p>
            <w:pPr>
              <w:pStyle w:val="Compact"/>
              <w:jc w:val="left"/>
            </w:pPr>
            <w:r>
              <w:t xml:space="preserve">3,200,000.00</w:t>
            </w:r>
          </w:p>
        </w:tc>
      </w:tr>
      <w:tr>
        <w:tc>
          <w:tcPr/>
          <w:p>
            <w:pPr>
              <w:pStyle w:val="Compact"/>
              <w:jc w:val="left"/>
            </w:pPr>
            <w:r>
              <w:t xml:space="preserve">3</w:t>
            </w:r>
          </w:p>
        </w:tc>
        <w:tc>
          <w:tcPr/>
          <w:p>
            <w:pPr>
              <w:pStyle w:val="Compact"/>
              <w:jc w:val="left"/>
            </w:pPr>
            <w:r>
              <w:t xml:space="preserve">Education Administrator – Budget Management &amp; Financial Reporting (ARS-denominated)</w:t>
            </w:r>
          </w:p>
        </w:tc>
        <w:tc>
          <w:tcPr/>
          <w:p>
            <w:pPr>
              <w:pStyle w:val="Compact"/>
              <w:jc w:val="left"/>
            </w:pPr>
            <w:r>
              <w:t xml:space="preserve">1</w:t>
            </w:r>
          </w:p>
        </w:tc>
        <w:tc>
          <w:tcPr/>
          <w:p>
            <w:pPr>
              <w:pStyle w:val="Compact"/>
              <w:jc w:val="left"/>
            </w:pPr>
            <w:r>
              <w:t xml:space="preserve">2,600,000.00</w:t>
            </w:r>
          </w:p>
        </w:tc>
        <w:tc>
          <w:tcPr/>
          <w:p>
            <w:pPr>
              <w:pStyle w:val="Compact"/>
              <w:jc w:val="left"/>
            </w:pPr>
            <w:r>
              <w:t xml:space="preserve">2,600,000.00</w:t>
            </w:r>
          </w:p>
        </w:tc>
      </w:tr>
      <w:tr>
        <w:tc>
          <w:tcPr/>
          <w:p>
            <w:pPr>
              <w:pStyle w:val="Compact"/>
              <w:jc w:val="left"/>
            </w:pPr>
            <w:r>
              <w:t xml:space="preserve">4</w:t>
            </w:r>
          </w:p>
        </w:tc>
        <w:tc>
          <w:tcPr/>
          <w:p>
            <w:pPr>
              <w:pStyle w:val="Compact"/>
              <w:jc w:val="left"/>
            </w:pPr>
            <w:r>
              <w:t xml:space="preserve">Education Administrator – Regulatory Liaison with CABA Education Authority</w:t>
            </w:r>
          </w:p>
        </w:tc>
        <w:tc>
          <w:tcPr/>
          <w:p>
            <w:pPr>
              <w:pStyle w:val="Compact"/>
              <w:jc w:val="left"/>
            </w:pPr>
            <w:r>
              <w:t xml:space="preserve">1</w:t>
            </w:r>
          </w:p>
        </w:tc>
        <w:tc>
          <w:tcPr/>
          <w:p>
            <w:pPr>
              <w:pStyle w:val="Compact"/>
              <w:jc w:val="left"/>
            </w:pPr>
            <w:r>
              <w:t xml:space="preserve">1,800,000.00</w:t>
            </w:r>
          </w:p>
        </w:tc>
        <w:tc>
          <w:tcPr/>
          <w:p>
            <w:pPr>
              <w:pStyle w:val="Compact"/>
              <w:jc w:val="left"/>
            </w:pPr>
            <w:r>
              <w:t xml:space="preserve">1,800,000.00</w:t>
            </w:r>
          </w:p>
        </w:tc>
      </w:tr>
      <w:tr>
        <w:tc>
          <w:tcPr/>
          <w:p>
            <w:pPr>
              <w:pStyle w:val="Compact"/>
              <w:jc w:val="left"/>
            </w:pPr>
            <w:r>
              <w:t xml:space="preserve">5</w:t>
            </w:r>
          </w:p>
        </w:tc>
        <w:tc>
          <w:tcPr/>
          <w:p>
            <w:pPr>
              <w:pStyle w:val="Compact"/>
              <w:jc w:val="left"/>
            </w:pPr>
            <w:r>
              <w:t xml:space="preserve">Education Administrator – Technology Integration &amp; Digital Infrastructure Oversight</w:t>
            </w:r>
          </w:p>
        </w:tc>
        <w:tc>
          <w:tcPr/>
          <w:p>
            <w:pPr>
              <w:pStyle w:val="Compact"/>
              <w:jc w:val="left"/>
            </w:pPr>
            <w:r>
              <w:t xml:space="preserve">1</w:t>
            </w:r>
          </w:p>
        </w:tc>
        <w:tc>
          <w:tcPr/>
          <w:p>
            <w:pPr>
              <w:pStyle w:val="Compact"/>
              <w:jc w:val="left"/>
            </w:pPr>
            <w:r>
              <w:t xml:space="preserve">2,100,000.00</w:t>
            </w:r>
          </w:p>
        </w:tc>
        <w:tc>
          <w:tcPr/>
          <w:p>
            <w:pPr>
              <w:pStyle w:val="Compact"/>
              <w:jc w:val="left"/>
            </w:pPr>
            <w:r>
              <w:t xml:space="preserve">2,100,000.00</w:t>
            </w:r>
          </w:p>
        </w:tc>
      </w:tr>
      <w:tr>
        <w:tc>
          <w:tcPr/>
          <w:p>
            <w:pPr>
              <w:pStyle w:val="Compact"/>
              <w:jc w:val="left"/>
            </w:pPr>
            <w:r>
              <w:t xml:space="preserve">6</w:t>
            </w:r>
          </w:p>
        </w:tc>
        <w:tc>
          <w:tcPr/>
          <w:p>
            <w:pPr>
              <w:pStyle w:val="Compact"/>
              <w:jc w:val="left"/>
            </w:pPr>
            <w:r>
              <w:t xml:space="preserve">Education Administrator – Community Engagement &amp; Parent Relations Program (Argentina Buenos Aires)</w:t>
            </w:r>
          </w:p>
        </w:tc>
        <w:tc>
          <w:tcPr/>
          <w:p>
            <w:pPr>
              <w:pStyle w:val="Compact"/>
              <w:jc w:val="left"/>
            </w:pPr>
            <w:r>
              <w:t xml:space="preserve">1</w:t>
            </w:r>
          </w:p>
        </w:tc>
        <w:tc>
          <w:tcPr/>
          <w:p>
            <w:pPr>
              <w:pStyle w:val="Compact"/>
              <w:jc w:val="left"/>
            </w:pPr>
            <w:r>
              <w:t xml:space="preserve">1,500,000.00</w:t>
            </w:r>
          </w:p>
        </w:tc>
        <w:tc>
          <w:tcPr/>
          <w:p>
            <w:pPr>
              <w:pStyle w:val="Compact"/>
              <w:jc w:val="left"/>
            </w:pPr>
            <w:r>
              <w:t xml:space="preserve">1,500,000.00</w:t>
            </w:r>
          </w:p>
        </w:tc>
      </w:tr>
      <w:tr>
        <w:tc>
          <w:tcPr/>
          <w:p>
            <w:pPr>
              <w:pStyle w:val="Compact"/>
              <w:jc w:val="left"/>
            </w:pPr>
            <w:r>
              <w:t xml:space="preserve">7</w:t>
            </w:r>
          </w:p>
        </w:tc>
        <w:tc>
          <w:tcPr/>
          <w:p>
            <w:pPr>
              <w:pStyle w:val="Compact"/>
              <w:jc w:val="left"/>
            </w:pPr>
            <w:r>
              <w:t xml:space="preserve">Education Administrator – Quality Assurance &amp; Accreditation Support</w:t>
            </w:r>
          </w:p>
        </w:tc>
        <w:tc>
          <w:tcPr/>
          <w:p>
            <w:pPr>
              <w:pStyle w:val="Compact"/>
              <w:jc w:val="left"/>
            </w:pPr>
            <w:r>
              <w:t xml:space="preserve">1</w:t>
            </w:r>
          </w:p>
        </w:tc>
        <w:tc>
          <w:tcPr/>
          <w:p>
            <w:pPr>
              <w:pStyle w:val="Compact"/>
              <w:jc w:val="left"/>
            </w:pPr>
            <w:r>
              <w:t xml:space="preserve">1,900,000.00</w:t>
            </w:r>
          </w:p>
        </w:tc>
        <w:tc>
          <w:tcPr/>
          <w:p>
            <w:pPr>
              <w:pStyle w:val="Compact"/>
              <w:jc w:val="left"/>
            </w:pPr>
            <w:r>
              <w:t xml:space="preserve">1,900,000.00</w:t>
            </w:r>
          </w:p>
        </w:tc>
      </w:tr>
      <w:tr>
        <w:tc>
          <w:tcPr/>
          <w:p>
            <w:pPr>
              <w:pStyle w:val="Compact"/>
              <w:jc w:val="left"/>
            </w:pPr>
            <w:r>
              <w:t xml:space="preserve">8</w:t>
            </w:r>
          </w:p>
        </w:tc>
        <w:tc>
          <w:tcPr/>
          <w:p>
            <w:pPr>
              <w:pStyle w:val="Compact"/>
              <w:jc w:val="left"/>
            </w:pPr>
            <w:r>
              <w:t xml:space="preserve">Education Administrator – Emergency Response &amp; Crisis Management Protocol</w:t>
            </w:r>
          </w:p>
        </w:tc>
        <w:tc>
          <w:tcPr/>
          <w:p>
            <w:pPr>
              <w:pStyle w:val="Compact"/>
              <w:jc w:val="left"/>
            </w:pPr>
            <w:r>
              <w:t xml:space="preserve">1</w:t>
            </w:r>
          </w:p>
        </w:tc>
        <w:tc>
          <w:tcPr/>
          <w:p>
            <w:pPr>
              <w:pStyle w:val="Compact"/>
              <w:jc w:val="left"/>
            </w:pPr>
            <w:r>
              <w:t xml:space="preserve">1,200,000.00</w:t>
            </w:r>
          </w:p>
        </w:tc>
        <w:tc>
          <w:tcPr/>
          <w:p>
            <w:pPr>
              <w:pStyle w:val="Compact"/>
              <w:jc w:val="left"/>
            </w:pPr>
            <w:r>
              <w:t xml:space="preserve">1,200,000.00</w:t>
            </w:r>
          </w:p>
        </w:tc>
      </w:tr>
    </w:tbl>
    <w:p>
      <w:pPr>
        <w:pStyle w:val="BodyText"/>
      </w:pPr>
      <w:r>
        <w:t xml:space="preserve">Subtotal: ARS 19,100,000.00</w:t>
      </w:r>
    </w:p>
    <w:p>
      <w:pPr>
        <w:pStyle w:val="BodyText"/>
      </w:pPr>
      <w:r>
        <w:t xml:space="preserve">IVA (21% – Argentine Value Added Tax): ARS 4,011,000.00</w:t>
      </w:r>
    </w:p>
    <w:p>
      <w:pPr>
        <w:pStyle w:val="BodyText"/>
      </w:pPr>
      <w:r>
        <w:t xml:space="preserve">IB (Ingresos Brutos – Buenos Aires Gross Revenue Tax, 5%): ARS 955,000.00</w:t>
      </w:r>
    </w:p>
    <w:p>
      <w:pPr>
        <w:pStyle w:val="BodyText"/>
      </w:pPr>
      <w:r>
        <w:t xml:space="preserve">TOTAL AMOUNT DUE: ARS 24,066,000.00</w:t>
      </w:r>
    </w:p>
    <w:p>
      <w:pPr>
        <w:pStyle w:val="BodyText"/>
      </w:pPr>
      <w:r>
        <w:t xml:space="preserve">TERMS AND CONDITIONS</w:t>
      </w:r>
    </w:p>
    <w:p>
      <w:pPr>
        <w:numPr>
          <w:ilvl w:val="0"/>
          <w:numId w:val="1001"/>
        </w:numPr>
        <w:pStyle w:val="Compact"/>
      </w:pPr>
      <w:r>
        <w:rPr>
          <w:bCs/>
          <w:b/>
        </w:rPr>
        <w:t xml:space="preserve">Scope of Engagement:</w:t>
      </w:r>
      <w:r>
        <w:t xml:space="preserve"> </w:t>
      </w:r>
      <w:r>
        <w:t xml:space="preserve">The</w:t>
      </w:r>
      <w:r>
        <w:t xml:space="preserve"> </w:t>
      </w:r>
      <w:r>
        <w:t xml:space="preserve">Education Administrator</w:t>
      </w:r>
      <w:r>
        <w:t xml:space="preserve"> </w:t>
      </w:r>
      <w:r>
        <w:t xml:space="preserve">engaged under this</w:t>
      </w:r>
      <w:r>
        <w:t xml:space="preserve"> </w:t>
      </w:r>
      <w:r>
        <w:t xml:space="preserve">Purchase Order</w:t>
      </w:r>
      <w:r>
        <w:t xml:space="preserve"> </w:t>
      </w:r>
      <w:r>
        <w:t xml:space="preserve">shall perform all duties in strict accordance with the educational policies established by the Government of the Ciudad Autónoma de Buenos Aires. All administrative decisions must align with the strategic plan approved by the CABA Education Council for the fiscal year 2025.</w:t>
      </w:r>
    </w:p>
    <w:p>
      <w:pPr>
        <w:numPr>
          <w:ilvl w:val="0"/>
          <w:numId w:val="1001"/>
        </w:numPr>
        <w:pStyle w:val="Compact"/>
      </w:pPr>
      <w:r>
        <w:rPr>
          <w:bCs/>
          <w:b/>
        </w:rPr>
        <w:t xml:space="preserve">Payment Terms:</w:t>
      </w:r>
      <w:r>
        <w:t xml:space="preserve"> </w:t>
      </w:r>
      <w:r>
        <w:t xml:space="preserve">Payment shall be made in monthly installments of ARS 2,005,500.00 (inclusive of all applicable taxes) via electronic transfer (SPEI) to the bank account designated by the service provider. Invoices must be issued in accordance with Argentine tax regulations (AFIP – Administración Federal de Ingresos Públicos) and must include the CUIT number, IVA breakdown, and IB certification.</w:t>
      </w:r>
    </w:p>
    <w:p>
      <w:pPr>
        <w:numPr>
          <w:ilvl w:val="0"/>
          <w:numId w:val="1001"/>
        </w:numPr>
        <w:pStyle w:val="Compact"/>
      </w:pPr>
      <w:r>
        <w:rPr>
          <w:bCs/>
          <w:b/>
        </w:rPr>
        <w:t xml:space="preserve">Compliance with Argentine Law:</w:t>
      </w:r>
      <w:r>
        <w:t xml:space="preserve"> </w:t>
      </w:r>
      <w:r>
        <w:t xml:space="preserve">The</w:t>
      </w:r>
      <w:r>
        <w:t xml:space="preserve"> </w:t>
      </w:r>
      <w:r>
        <w:t xml:space="preserve">Education Administrator</w:t>
      </w:r>
      <w:r>
        <w:t xml:space="preserve"> </w:t>
      </w:r>
      <w:r>
        <w:t xml:space="preserve">shall comply with all applicable labor laws of the</w:t>
      </w:r>
      <w:r>
        <w:t xml:space="preserve"> </w:t>
      </w:r>
      <w:r>
        <w:t xml:space="preserve">Argentina Buenos Aires</w:t>
      </w:r>
      <w:r>
        <w:t xml:space="preserve"> </w:t>
      </w:r>
      <w:r>
        <w:t xml:space="preserve">jurisdiction, including the Ley de Contrato de Trabajo (LCT N° 20.744), the Ley de Educación Nacional, and all municipal ordinances governing public education administration in the Autonomous City of Buenos Aires.</w:t>
      </w:r>
    </w:p>
    <w:p>
      <w:pPr>
        <w:numPr>
          <w:ilvl w:val="0"/>
          <w:numId w:val="1001"/>
        </w:numPr>
        <w:pStyle w:val="Compact"/>
      </w:pPr>
      <w:r>
        <w:rPr>
          <w:bCs/>
          <w:b/>
        </w:rPr>
        <w:t xml:space="preserve">Performance Standards:</w:t>
      </w:r>
      <w:r>
        <w:t xml:space="preserve"> </w:t>
      </w:r>
      <w:r>
        <w:t xml:space="preserve">The</w:t>
      </w:r>
    </w:p>
    <w:p>
      <w:pPr>
        <w:numPr>
          <w:ilvl w:val="0"/>
          <w:numId w:val="1000"/>
        </w:numPr>
        <w:pStyle w:val="Compact"/>
      </w:pPr>
      <w:r>
        <w:t xml:space="preserve">Education Administrator shall submit quarterly performance reports to the Director General of Education. Failure to meet the established KPIs for two consecutive quarters shall constitute grounds for termination of this</w:t>
      </w:r>
      <w:r>
        <w:t xml:space="preserve"> </w:t>
      </w:r>
      <w:r>
        <w:t xml:space="preserve">Purchase Order</w:t>
      </w:r>
      <w:r>
        <w:t xml:space="preserve"> </w:t>
      </w:r>
      <w:r>
        <w:t xml:space="preserve">with thirty (30) days written notice.</w:t>
      </w:r>
    </w:p>
    <w:p>
      <w:pPr>
        <w:numPr>
          <w:ilvl w:val="0"/>
          <w:numId w:val="1001"/>
        </w:numPr>
        <w:pStyle w:val="Compact"/>
      </w:pPr>
      <w:r>
        <w:rPr>
          <w:bCs/>
          <w:b/>
        </w:rPr>
        <w:t xml:space="preserve">Confidentiality:</w:t>
      </w:r>
      <w:r>
        <w:t xml:space="preserve"> </w:t>
      </w:r>
      <w:r>
        <w:t xml:space="preserve">All student records, institutional data, and internal communications accessed by the</w:t>
      </w:r>
      <w:r>
        <w:t xml:space="preserve"> </w:t>
      </w:r>
      <w:r>
        <w:t xml:space="preserve">Education Administrator</w:t>
      </w:r>
      <w:r>
        <w:t xml:space="preserve"> </w:t>
      </w:r>
      <w:r>
        <w:t xml:space="preserve">in the course of duties in</w:t>
      </w:r>
      <w:r>
        <w:t xml:space="preserve"> </w:t>
      </w:r>
      <w:r>
        <w:t xml:space="preserve">Argentina Buenos Aires</w:t>
      </w:r>
      <w:r>
        <w:t xml:space="preserve"> </w:t>
      </w:r>
      <w:r>
        <w:t xml:space="preserve">shall be treated as strictly confidential in accordance with Ley de Protección de Datos Personales N° 25.326.</w:t>
      </w:r>
    </w:p>
    <w:p>
      <w:pPr>
        <w:numPr>
          <w:ilvl w:val="0"/>
          <w:numId w:val="1001"/>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with sixty (60) days written notice. In the event of termination, all outstanding invoices for services rendered up to the termination date shall be settled within fifteen (15) business days.</w:t>
      </w:r>
    </w:p>
    <w:p>
      <w:pPr>
        <w:numPr>
          <w:ilvl w:val="0"/>
          <w:numId w:val="1001"/>
        </w:numPr>
        <w:pStyle w:val="Compact"/>
      </w:pPr>
      <w:r>
        <w:rPr>
          <w:bCs/>
          <w:b/>
        </w:rPr>
        <w:t xml:space="preserve">Dispute Resolution:</w:t>
      </w:r>
      <w:r>
        <w:t xml:space="preserve"> </w:t>
      </w:r>
      <w:r>
        <w:t xml:space="preserve">Any disputes arising from this</w:t>
      </w:r>
      <w:r>
        <w:t xml:space="preserve"> </w:t>
      </w:r>
      <w:r>
        <w:t xml:space="preserve">Purchase Order</w:t>
      </w:r>
      <w:r>
        <w:t xml:space="preserve"> </w:t>
      </w:r>
      <w:r>
        <w:t xml:space="preserve">shall be resolved through binding arbitration in Buenos Aires, Argentina, in accordance with the rules of the Cámara de Comercio de Buenos Aires. The governing law shall be the laws of the Argentine Republic.</w:t>
      </w:r>
    </w:p>
    <w:p>
      <w:pPr>
        <w:numPr>
          <w:ilvl w:val="0"/>
          <w:numId w:val="1001"/>
        </w:numPr>
        <w:pStyle w:val="Compact"/>
      </w:pPr>
      <w:r>
        <w:rPr>
          <w:bCs/>
          <w:b/>
        </w:rPr>
        <w:t xml:space="preserve">Force Majeure:</w:t>
      </w:r>
      <w:r>
        <w:t xml:space="preserve"> </w:t>
      </w:r>
      <w:r>
        <w:t xml:space="preserve">Neither party shall be liable for delays or failures in performance resulting from events beyond reasonable control, including but not limited to natural disasters, government mandates, or public health emergencies affecting the</w:t>
      </w:r>
      <w:r>
        <w:t xml:space="preserve"> </w:t>
      </w:r>
      <w:r>
        <w:t xml:space="preserve">Argentina Buenos Aires</w:t>
      </w:r>
      <w:r>
        <w:t xml:space="preserve"> </w:t>
      </w:r>
      <w:r>
        <w:t xml:space="preserve">metropolitan area.</w:t>
      </w:r>
    </w:p>
    <w:p>
      <w:pPr>
        <w:numPr>
          <w:ilvl w:val="0"/>
          <w:numId w:val="1001"/>
        </w:numPr>
        <w:pStyle w:val="Compact"/>
      </w:pPr>
      <w:r>
        <w:rPr>
          <w:bCs/>
          <w:b/>
        </w:rPr>
        <w:t xml:space="preserve">Validity:</w:t>
      </w:r>
      <w:r>
        <w:t xml:space="preserve"> </w:t>
      </w:r>
      <w:r>
        <w:t xml:space="preserve">This</w:t>
      </w:r>
      <w:r>
        <w:t xml:space="preserve"> </w:t>
      </w:r>
      <w:r>
        <w:t xml:space="preserve">Purchase Order</w:t>
      </w:r>
      <w:r>
        <w:t xml:space="preserve"> </w:t>
      </w:r>
      <w:r>
        <w:t xml:space="preserve">is valid for acceptance until 31 de Julio de 2025. Acceptance beyond this date requires written re-authorization from the issuing authority.</w:t>
      </w:r>
    </w:p>
    <w:p>
      <w:pPr>
        <w:pStyle w:val="FirstParagraph"/>
      </w:pPr>
      <w:r>
        <w:t xml:space="preserve">AUTHORIZATION AND SIGNATURES</w:t>
      </w:r>
    </w:p>
    <w:p>
      <w:pPr>
        <w:pStyle w:val="BodyText"/>
      </w:pPr>
      <w:r>
        <w:rPr>
          <w:bCs/>
          <w:b/>
        </w:rPr>
        <w:t xml:space="preserve">Authorized by (Buyer):</w:t>
      </w:r>
    </w:p>
    <w:p>
      <w:pPr>
        <w:pStyle w:val="BodyText"/>
      </w:pPr>
      <w:r>
        <w:t xml:space="preserve">Dr. Roberto Sánchez</w:t>
      </w:r>
    </w:p>
    <w:p>
      <w:pPr>
        <w:pStyle w:val="BodyText"/>
      </w:pPr>
      <w:r>
        <w:t xml:space="preserve">Director General de Educación Inicial y Primaria</w:t>
      </w:r>
    </w:p>
    <w:p>
      <w:pPr>
        <w:pStyle w:val="BodyText"/>
      </w:pPr>
      <w:r>
        <w:t xml:space="preserve">Ministerio de Educación – CABA</w:t>
      </w:r>
    </w:p>
    <w:p>
      <w:pPr>
        <w:pStyle w:val="BodyText"/>
      </w:pPr>
      <w:r>
        <w:br/>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Accepted by (Seller):</w:t>
      </w:r>
    </w:p>
    <w:p>
      <w:pPr>
        <w:pStyle w:val="BodyText"/>
      </w:pPr>
      <w:r>
        <w:t xml:space="preserve">Lic. María Fernández</w:t>
      </w:r>
    </w:p>
    <w:p>
      <w:pPr>
        <w:pStyle w:val="BodyText"/>
      </w:pPr>
      <w:r>
        <w:t xml:space="preserve">Gerente Comercial – EducaPro S.A.</w:t>
      </w:r>
    </w:p>
    <w:p>
      <w:pPr>
        <w:pStyle w:val="BodyText"/>
      </w:pPr>
      <w:r>
        <w:t xml:space="preserve">Buenos Aires, Argentina</w:t>
      </w:r>
    </w:p>
    <w:p>
      <w:pPr>
        <w:pStyle w:val="BodyText"/>
      </w:pPr>
      <w:r>
        <w:br/>
      </w:r>
    </w:p>
    <w:p>
      <w:pPr>
        <w:pStyle w:val="BodyText"/>
      </w:pPr>
      <w:r>
        <w:t xml:space="preserve">Signature: ___________________________</w:t>
      </w:r>
    </w:p>
    <w:p>
      <w:pPr>
        <w:pStyle w:val="BodyText"/>
      </w:pPr>
      <w:r>
        <w:t xml:space="preserve">Date: ___________________________</w:t>
      </w:r>
    </w:p>
    <w:p>
      <w:pPr>
        <w:pStyle w:val="BodyText"/>
      </w:pPr>
      <w:r>
        <w:t xml:space="preserve">This Purchase Order (PO-BA-2025-0047-EA) is an official procurement document of the Ministry of Education, Ciudad Autónoma de Buenos Aires, Argentina. All amounts are denominated in Argentine Pesos (ARS). This document is subject to the public procurement regulations of the CABA government (Ley de Contrataciones N° 2.095/2014). For inquiries, contact the Oficina de Compras y Contrataciones at compras@educacion.gob.ar or +54 11 4300-1200.</w:t>
      </w:r>
    </w:p>
    <w:p>
      <w:pPr>
        <w:pStyle w:val="BodyText"/>
      </w:pPr>
      <w:r>
        <w:t xml:space="preserve">Document generated in Buenos Aires, Argentina – 15/06/2025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Education Administrator - Argentina Buenos Aires</dc:title>
  <dc:creator/>
  <dc:language>en</dc:language>
  <cp:keywords/>
  <dcterms:created xsi:type="dcterms:W3CDTF">2026-10-10T03:45:00Z</dcterms:created>
  <dcterms:modified xsi:type="dcterms:W3CDTF">2026-10-10T03:45:00Z</dcterms:modified>
</cp:coreProperties>
</file>

<file path=docProps/custom.xml><?xml version="1.0" encoding="utf-8"?>
<Properties xmlns="http://schemas.openxmlformats.org/officeDocument/2006/custom-properties" xmlns:vt="http://schemas.openxmlformats.org/officeDocument/2006/docPropsVTypes"/>
</file>