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Procurement of Education Administrator Services – Germany Frankfurt</w:t>
      </w:r>
    </w:p>
    <w:p>
      <w:pPr>
        <w:pStyle w:val="BodyText"/>
      </w:pPr>
      <w:r>
        <w:t xml:space="preserve">Document Reference: PO-FRA-2025-00472 | Classification: Confidential – Internal Use Only</w:t>
      </w:r>
    </w:p>
    <w:bookmarkEnd w:id="20"/>
    <w:p>
      <w:pPr>
        <w:pStyle w:val="BodyText"/>
      </w:pPr>
      <w:r>
        <w:rPr>
          <w:bCs/>
          <w:b/>
        </w:rPr>
        <w:t xml:space="preserve">Purchase Order Number:</w:t>
      </w:r>
      <w:r>
        <w:t xml:space="preserve"> </w:t>
      </w:r>
      <w:r>
        <w:t xml:space="preserve">PO-FRA-2025-00472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Office:</w:t>
      </w:r>
      <w:r>
        <w:t xml:space="preserve"> </w:t>
      </w:r>
      <w:r>
        <w:t xml:space="preserve">Human Resources &amp; Procurement Division</w:t>
      </w:r>
      <w:r>
        <w:br/>
      </w:r>
      <w:r>
        <w:rPr>
          <w:bCs/>
          <w:b/>
        </w:rPr>
        <w:t xml:space="preserve">Location:</w:t>
      </w:r>
      <w:r>
        <w:t xml:space="preserve"> </w:t>
      </w:r>
      <w:r>
        <w:t xml:space="preserve">Germany Frankfurt, Main Tower, 4th Floor</w:t>
      </w:r>
      <w:r>
        <w:br/>
      </w:r>
      <w:r>
        <w:rPr>
          <w:bCs/>
          <w:b/>
        </w:rPr>
        <w:t xml:space="preserve">Contact:</w:t>
      </w:r>
      <w:r>
        <w:t xml:space="preserve"> </w:t>
      </w:r>
      <w:r>
        <w:t xml:space="preserve">procurement.frankfurt@institution.de</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Frankfurt Metropolitan Education Authority (FMEA)</w:t>
            </w:r>
          </w:p>
        </w:tc>
        <w:tc>
          <w:tcPr/>
          <w:p>
            <w:pPr>
              <w:pStyle w:val="Compact"/>
              <w:jc w:val="left"/>
            </w:pPr>
            <w:r>
              <w:t xml:space="preserve">Bockenheimer Landstraße 24, 60323 Germany Frankfurt, Hesse, Germany</w:t>
            </w:r>
            <w:r>
              <w:br/>
            </w:r>
            <w:r>
              <w:t xml:space="preserve">Tel: +49 69 1234 5678</w:t>
            </w:r>
            <w:r>
              <w:br/>
            </w:r>
            <w:r>
              <w:t xml:space="preserve">Email: hr.frankfurt@fmea.de</w:t>
            </w:r>
          </w:p>
        </w:tc>
      </w:tr>
      <w:tr>
        <w:tc>
          <w:tcPr/>
          <w:p>
            <w:pPr>
              <w:pStyle w:val="Compact"/>
              <w:jc w:val="left"/>
            </w:pPr>
            <w:r>
              <w:rPr>
                <w:bCs/>
                <w:b/>
              </w:rPr>
              <w:t xml:space="preserve">Supplier (Service Provider)</w:t>
            </w:r>
          </w:p>
        </w:tc>
        <w:tc>
          <w:tcPr/>
          <w:p>
            <w:pPr>
              <w:pStyle w:val="Compact"/>
              <w:jc w:val="left"/>
            </w:pPr>
            <w:r>
              <w:t xml:space="preserve">Academic Staffing Solutions GmbH</w:t>
            </w:r>
          </w:p>
        </w:tc>
        <w:tc>
          <w:tcPr/>
          <w:p>
            <w:pPr>
              <w:pStyle w:val="Compact"/>
              <w:jc w:val="left"/>
            </w:pPr>
            <w:r>
              <w:t xml:space="preserve">Zeil 18, 60313 Germany Frankfurt, Hesse, Germany</w:t>
            </w:r>
            <w:r>
              <w:br/>
            </w:r>
            <w:r>
              <w:t xml:space="preserve">Tel: +49 69 8765 4321</w:t>
            </w:r>
            <w:r>
              <w:br/>
            </w:r>
            <w:r>
              <w:t xml:space="preserve">Email: contracts@academicstaffing.de</w:t>
            </w:r>
            <w:r>
              <w:br/>
            </w:r>
            <w:r>
              <w:t xml:space="preserve">USt-IdNr.: DE123456789</w:t>
            </w:r>
          </w:p>
        </w:tc>
      </w:tr>
    </w:tbl>
    <w:p>
      <w:pPr>
        <w:pStyle w:val="BodyText"/>
      </w:pPr>
      <w:r>
        <w:t xml:space="preserve">2. Scope of Purchase – Education Administrator Position</w:t>
      </w:r>
    </w:p>
    <w:p>
      <w:pPr>
        <w:pStyle w:val="BodyText"/>
      </w:pPr>
      <w:r>
        <w:t xml:space="preserve">This</w:t>
      </w:r>
      <w:r>
        <w:t xml:space="preserve"> </w:t>
      </w:r>
      <w:r>
        <w:t xml:space="preserve">Purchase Order</w:t>
      </w:r>
      <w:r>
        <w:t xml:space="preserve"> </w:t>
      </w:r>
      <w:r>
        <w:t xml:space="preserve">is issued by the Frankfurt Metropolitan Education Authority to formally procure the services of a qualified</w:t>
      </w:r>
      <w:r>
        <w:t xml:space="preserve"> </w:t>
      </w:r>
      <w:r>
        <w:t xml:space="preserve">Education Administrator</w:t>
      </w:r>
      <w:r>
        <w:t xml:space="preserve"> </w:t>
      </w:r>
      <w:r>
        <w:t xml:space="preserve">for deployment within the Germany Frankfurt educational district. The</w:t>
      </w:r>
      <w:r>
        <w:t xml:space="preserve"> </w:t>
      </w:r>
      <w:r>
        <w:t xml:space="preserve">Education Administrator</w:t>
      </w:r>
      <w:r>
        <w:t xml:space="preserve"> </w:t>
      </w:r>
      <w:r>
        <w:t xml:space="preserve">shall be responsible for the day-to-day operational management of academic programmes, coordination of faculty schedules, oversight of student records, compliance with Hessian state education regulations, and liaison between the Germany Frankfurt school board and external accreditation bodies. The role is specifically tailored to the administrative and pedagogical requirements of the Germany Frankfurt metropolitan education network, which encompasses 47 primary and secondary institutions across the city and surrounding districts.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Annual salary – Education Administrator (Full-time, 38.5 hrs/week), Germany Frankfurt standard rate</w:t>
            </w:r>
          </w:p>
        </w:tc>
        <w:tc>
          <w:tcPr/>
          <w:p>
            <w:pPr>
              <w:pStyle w:val="Compact"/>
              <w:jc w:val="left"/>
            </w:pPr>
            <w:r>
              <w:t xml:space="preserve">1</w:t>
            </w:r>
          </w:p>
        </w:tc>
        <w:tc>
          <w:tcPr/>
          <w:p>
            <w:pPr>
              <w:pStyle w:val="Compact"/>
              <w:jc w:val="left"/>
            </w:pPr>
            <w:r>
              <w:t xml:space="preserve">62,400.00</w:t>
            </w:r>
          </w:p>
        </w:tc>
        <w:tc>
          <w:tcPr/>
          <w:p>
            <w:pPr>
              <w:pStyle w:val="Compact"/>
              <w:jc w:val="left"/>
            </w:pPr>
            <w:r>
              <w:t xml:space="preserve">62,400.00</w:t>
            </w:r>
          </w:p>
        </w:tc>
      </w:tr>
      <w:tr>
        <w:tc>
          <w:tcPr/>
          <w:p>
            <w:pPr>
              <w:pStyle w:val="Compact"/>
              <w:jc w:val="left"/>
            </w:pPr>
            <w:r>
              <w:t xml:space="preserve">002</w:t>
            </w:r>
          </w:p>
        </w:tc>
        <w:tc>
          <w:tcPr/>
          <w:p>
            <w:pPr>
              <w:pStyle w:val="Compact"/>
              <w:jc w:val="left"/>
            </w:pPr>
            <w:r>
              <w:t xml:space="preserve">Statutory social contributions (employer share – pension, health, unemployment, nursing care) per German labour law</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003</w:t>
            </w:r>
          </w:p>
        </w:tc>
        <w:tc>
          <w:tcPr/>
          <w:p>
            <w:pPr>
              <w:pStyle w:val="Compact"/>
              <w:jc w:val="left"/>
            </w:pPr>
            <w:r>
              <w:t xml:space="preserve">Onboarding and integration package – Germany Frankfurt orientation, local education policy briefing, IT provisioning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004</w:t>
            </w:r>
          </w:p>
        </w:tc>
        <w:tc>
          <w:tcPr/>
          <w:p>
            <w:pPr>
              <w:pStyle w:val="Compact"/>
              <w:jc w:val="left"/>
            </w:pPr>
            <w:r>
              <w:t xml:space="preserve">Professional development allowance – certified training in German educational administration standards (annual)</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005</w:t>
            </w:r>
          </w:p>
        </w:tc>
        <w:tc>
          <w:tcPr/>
          <w:p>
            <w:pPr>
              <w:pStyle w:val="Compact"/>
              <w:jc w:val="left"/>
            </w:pPr>
            <w:r>
              <w:t xml:space="preserve">Administrative tooling and software licences (student management system, scheduling platform, document management)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006</w:t>
            </w:r>
          </w:p>
        </w:tc>
        <w:tc>
          <w:tcPr/>
          <w:p>
            <w:pPr>
              <w:pStyle w:val="Compact"/>
              <w:jc w:val="left"/>
            </w:pPr>
            <w:r>
              <w:t xml:space="preserve">Recruitment and placement fee (one-time, payable upon successful placement of the Education Administrator)</w:t>
            </w:r>
          </w:p>
        </w:tc>
        <w:tc>
          <w:tcPr/>
          <w:p>
            <w:pPr>
              <w:pStyle w:val="Compact"/>
              <w:jc w:val="left"/>
            </w:pPr>
            <w:r>
              <w:t xml:space="preserve">1</w:t>
            </w:r>
          </w:p>
        </w:tc>
        <w:tc>
          <w:tcPr/>
          <w:p>
            <w:pPr>
              <w:pStyle w:val="Compact"/>
              <w:jc w:val="left"/>
            </w:pPr>
            <w:r>
              <w:t xml:space="preserve">8,760.00</w:t>
            </w:r>
          </w:p>
        </w:tc>
        <w:tc>
          <w:tcPr/>
          <w:p>
            <w:pPr>
              <w:pStyle w:val="Compact"/>
              <w:jc w:val="left"/>
            </w:pPr>
            <w:r>
              <w:t xml:space="preserve">8,760.00</w:t>
            </w:r>
          </w:p>
        </w:tc>
      </w:tr>
      <w:tr>
        <w:tc>
          <w:tcPr/>
          <w:p>
            <w:pPr>
              <w:pStyle w:val="Compact"/>
              <w:jc w:val="left"/>
            </w:pPr>
            <w:r>
              <w:t xml:space="preserve">007</w:t>
            </w:r>
          </w:p>
        </w:tc>
        <w:tc>
          <w:tcPr/>
          <w:p>
            <w:pPr>
              <w:pStyle w:val="Compact"/>
              <w:jc w:val="left"/>
            </w:pPr>
            <w:r>
              <w:t xml:space="preserve">Compliance and audit support – annual review of Education Administrator duties against Hessian state mandates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gridSpan w:val="4"/>
          </w:tcPr>
          <w:p>
            <w:pPr>
              <w:pStyle w:val="Compact"/>
              <w:jc w:val="right"/>
            </w:pPr>
            <w:r>
              <w:t xml:space="preserve">Subtotal</w:t>
            </w:r>
          </w:p>
        </w:tc>
        <w:tc>
          <w:tcPr/>
          <w:p>
            <w:pPr>
              <w:pStyle w:val="Compact"/>
              <w:jc w:val="left"/>
            </w:pPr>
            <w:r>
              <w:t xml:space="preserve">97,760.00</w:t>
            </w:r>
          </w:p>
        </w:tc>
      </w:tr>
      <w:tr>
        <w:tc>
          <w:tcPr>
            <w:gridSpan w:val="4"/>
          </w:tcPr>
          <w:p>
            <w:pPr>
              <w:pStyle w:val="Compact"/>
              <w:jc w:val="right"/>
            </w:pPr>
            <w:r>
              <w:t xml:space="preserve">VAT (19% – Germany standard rate)</w:t>
            </w:r>
          </w:p>
        </w:tc>
        <w:tc>
          <w:tcPr/>
          <w:p>
            <w:pPr>
              <w:pStyle w:val="Compact"/>
              <w:jc w:val="left"/>
            </w:pPr>
            <w:r>
              <w:t xml:space="preserve">18,574.40</w:t>
            </w:r>
          </w:p>
        </w:tc>
      </w:tr>
      <w:tr>
        <w:tc>
          <w:tcPr>
            <w:gridSpan w:val="4"/>
          </w:tcPr>
          <w:p>
            <w:pPr>
              <w:pStyle w:val="Compact"/>
              <w:jc w:val="right"/>
            </w:pPr>
            <w:r>
              <w:t xml:space="preserve">GRAND TOTAL (EUR)</w:t>
            </w:r>
          </w:p>
        </w:tc>
        <w:tc>
          <w:tcPr/>
          <w:p>
            <w:pPr>
              <w:pStyle w:val="Compact"/>
              <w:jc w:val="left"/>
            </w:pPr>
            <w:r>
              <w:t xml:space="preserve">116,334.40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with specific reference to the Hessian State Education Act (Hessisches Schulgesetz) applicable in Germany Frankfurt.</w:t>
      </w:r>
    </w:p>
    <w:p>
      <w:pPr>
        <w:numPr>
          <w:ilvl w:val="0"/>
          <w:numId w:val="1001"/>
        </w:numPr>
        <w:pStyle w:val="Compact"/>
      </w:pPr>
      <w:r>
        <w:rPr>
          <w:bCs/>
          <w:b/>
        </w:rPr>
        <w:t xml:space="preserve">Delivery / Commencement:</w:t>
      </w:r>
      <w:r>
        <w:t xml:space="preserve"> </w:t>
      </w:r>
      <w:r>
        <w:t xml:space="preserve">The Education Administrator shall commence duties no later than 1 September 2025 at the designated Germany Frankfurt administrative office. The supplier guarantees that all onboarding procedures, including local registration (Anmeldung) and work permit verification, shall be completed prior to this date.</w:t>
      </w:r>
    </w:p>
    <w:p>
      <w:pPr>
        <w:numPr>
          <w:ilvl w:val="0"/>
          <w:numId w:val="1001"/>
        </w:numPr>
        <w:pStyle w:val="Compact"/>
      </w:pPr>
      <w:r>
        <w:rPr>
          <w:bCs/>
          <w:b/>
        </w:rPr>
        <w:t xml:space="preserve">Payment Terms:</w:t>
      </w:r>
      <w:r>
        <w:t xml:space="preserve"> </w:t>
      </w:r>
      <w:r>
        <w:t xml:space="preserve">Net 30 days from the date of invoice. The recruitment and placement fee (Item 006) is due within 14 days of confirmed placement. All recurring payments (Items 001–005, 007) shall be processed on a monthly basis via SEPA direct debit to the supplier's designated bank account in Germany Frankfurt.</w:t>
      </w:r>
    </w:p>
    <w:p>
      <w:pPr>
        <w:numPr>
          <w:ilvl w:val="0"/>
          <w:numId w:val="1001"/>
        </w:numPr>
        <w:pStyle w:val="Compact"/>
      </w:pPr>
      <w:r>
        <w:rPr>
          <w:bCs/>
          <w:b/>
        </w:rPr>
        <w:t xml:space="preserve">Performance Standards:</w:t>
      </w:r>
      <w:r>
        <w:t xml:space="preserve"> </w:t>
      </w:r>
      <w:r>
        <w:t xml:space="preserve">The Education Administrator shall meet the KPIs outlined in Annex A of this Purchase Order, which include a minimum 95% accuracy rate in student record management, timely submission of all statutory reports to the Germany Frankfurt school board, and completion of all mandated professional development hours within the academic year.</w:t>
      </w:r>
    </w:p>
    <w:p>
      <w:pPr>
        <w:numPr>
          <w:ilvl w:val="0"/>
          <w:numId w:val="1001"/>
        </w:numPr>
        <w:pStyle w:val="Compact"/>
      </w:pPr>
      <w:r>
        <w:rPr>
          <w:bCs/>
          <w:b/>
        </w:rPr>
        <w:t xml:space="preserve">Termination:</w:t>
      </w:r>
      <w:r>
        <w:t xml:space="preserve"> </w:t>
      </w:r>
      <w:r>
        <w:t xml:space="preserve">Either party may terminate this Purchase Order with a written notice period of three (3) months, in compliance with German labour law (Bürgerliches Gesetzbuch, § 622). In the event of early termination, a pro-rata adjustment to all line items shall be applied.</w:t>
      </w:r>
    </w:p>
    <w:p>
      <w:pPr>
        <w:numPr>
          <w:ilvl w:val="0"/>
          <w:numId w:val="1001"/>
        </w:numPr>
        <w:pStyle w:val="Compact"/>
      </w:pPr>
      <w:r>
        <w:rPr>
          <w:bCs/>
          <w:b/>
        </w:rPr>
        <w:t xml:space="preserve">Confidentiality:</w:t>
      </w:r>
      <w:r>
        <w:t xml:space="preserve"> </w:t>
      </w:r>
      <w:r>
        <w:t xml:space="preserve">All data pertaining to students, faculty, and internal operations of the Germany Frankfurt education network shall be treated as strictly confidential. The Education Administrator is bound by a non-disclosure agreement (NDA) in accordance with the German Federal Data Protection Act (BDSG) and the EU General Data Protection Regulation (GDPR).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Germany Frankfurt before escalation to the competent regional court (Landgericht Frankfurt am Main).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of educational institutions in Germany Frankfurt, or pandemics.</w:t>
      </w:r>
    </w:p>
    <w:p>
      <w:pPr>
        <w:pStyle w:val="FirstParagraph"/>
      </w:pPr>
      <w:r>
        <w:t xml:space="preserve">5. Acceptance and Authorisation</w:t>
      </w:r>
    </w:p>
    <w:p>
      <w:pPr>
        <w:pStyle w:val="BodyText"/>
      </w:pPr>
      <w:r>
        <w:t xml:space="preserve">By signing below, both parties acknowledge and agree to all terms, conditions, and line items specified in this Purchase Order for the procurement of the Education Administrator role within the Germany Frankfurt educational district. This document constitutes a binding agreement effective from the date of the last signature.</w:t>
      </w:r>
    </w:p>
    <w:p>
      <w:pPr>
        <w:pStyle w:val="BodyText"/>
      </w:pPr>
      <w:r>
        <w:rPr>
          <w:bCs/>
          <w:b/>
        </w:rPr>
        <w:t xml:space="preserve">For the Buyer – Frankfurt Metropolitan Education Authority</w:t>
      </w:r>
    </w:p>
    <w:p>
      <w:pPr>
        <w:pStyle w:val="BodyText"/>
      </w:pPr>
      <w:r>
        <w:t xml:space="preserve">Name: Dr. Katharina Weber</w:t>
      </w:r>
      <w:r>
        <w:br/>
      </w:r>
      <w:r>
        <w:t xml:space="preserve">Title: Director of Human Resources, Germany Frankfurt</w:t>
      </w:r>
      <w:r>
        <w:br/>
      </w:r>
      <w:r>
        <w:t xml:space="preserve">Signature: _________________________</w:t>
      </w:r>
      <w:r>
        <w:br/>
      </w:r>
      <w:r>
        <w:t xml:space="preserve">Date: _________________________</w:t>
      </w:r>
    </w:p>
    <w:p>
      <w:pPr>
        <w:pStyle w:val="BodyText"/>
      </w:pPr>
      <w:r>
        <w:rPr>
          <w:bCs/>
          <w:b/>
        </w:rPr>
        <w:t xml:space="preserve">For the Supplier – Academic Staffing Solutions GmbH</w:t>
      </w:r>
    </w:p>
    <w:p>
      <w:pPr>
        <w:pStyle w:val="BodyText"/>
      </w:pPr>
      <w:r>
        <w:t xml:space="preserve">Name: Markus Steinbach</w:t>
      </w:r>
      <w:r>
        <w:br/>
      </w:r>
      <w:r>
        <w:t xml:space="preserve">Title: Managing Director, Germany Frankfurt</w:t>
      </w:r>
      <w:r>
        <w:br/>
      </w:r>
      <w:r>
        <w:t xml:space="preserve">Signature: _________________________</w:t>
      </w:r>
      <w:r>
        <w:br/>
      </w:r>
      <w:r>
        <w:t xml:space="preserve">Date: _________________________</w:t>
      </w:r>
    </w:p>
    <w:p>
      <w:pPr>
        <w:pStyle w:val="BodyText"/>
      </w:pPr>
      <w:r>
        <w:t xml:space="preserve">This Purchase Order (PO-FRA-2025-00472) was generated by the Frankfurt Metropolitan Education Authority, Germany Frankfurt. For queries regarding the Education Administrator procurement, contact the Procurement Division at procurement.frankfurt@fmea.de. This document is valid only when bearing the official seal and signatures of both parties. Unauthorised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Germany Frankfurt</dc:title>
  <dc:creator/>
  <dc:language>en</dc:language>
  <cp:keywords/>
  <dcterms:created xsi:type="dcterms:W3CDTF">2026-10-10T00:35:06Z</dcterms:created>
  <dcterms:modified xsi:type="dcterms:W3CDTF">2026-10-10T00:35:06Z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