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Procurement of Education Administrator Services</w:t>
      </w:r>
    </w:p>
    <w:p>
      <w:pPr>
        <w:pStyle w:val="BodyText"/>
      </w:pPr>
      <w:r>
        <w:t xml:space="preserve">PO No. MNL-EDU-2025-0472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Country / Region:</w:t>
      </w:r>
      <w:r>
        <w:t xml:space="preserve"> </w:t>
      </w:r>
      <w:r>
        <w:t xml:space="preserve">Philippines Manila</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Philippine Peso (PHP)</w:t>
      </w:r>
      <w:r>
        <w:br/>
      </w:r>
      <w:r>
        <w:rPr>
          <w:bCs/>
          <w:b/>
        </w:rPr>
        <w:t xml:space="preserve">Delivery Location:</w:t>
      </w:r>
      <w:r>
        <w:t xml:space="preserve"> </w:t>
      </w:r>
      <w:r>
        <w:t xml:space="preserve">Manila, Philippines</w:t>
      </w:r>
    </w:p>
    <w:p>
      <w:pPr>
        <w:pStyle w:val="BodyText"/>
      </w:pPr>
      <w:r>
        <w:t xml:space="preserve">1. Purchasing Entity (Buyer)</w:t>
      </w:r>
    </w:p>
    <w:p>
      <w:pPr>
        <w:pStyle w:val="BodyText"/>
      </w:pPr>
      <w:r>
        <w:rPr>
          <w:bCs/>
          <w:b/>
        </w:rPr>
        <w:t xml:space="preserve">Organization:</w:t>
      </w:r>
      <w:r>
        <w:t xml:space="preserve"> </w:t>
      </w:r>
      <w:r>
        <w:t xml:space="preserve">Metro Manila Educational Development Corporation (MMEDC)</w:t>
      </w:r>
    </w:p>
    <w:p>
      <w:pPr>
        <w:pStyle w:val="BodyText"/>
      </w:pPr>
      <w:r>
        <w:rPr>
          <w:bCs/>
          <w:b/>
        </w:rPr>
        <w:t xml:space="preserve">Address:</w:t>
      </w:r>
      <w:r>
        <w:t xml:space="preserve"> </w:t>
      </w:r>
      <w:r>
        <w:t xml:space="preserve">128 Ayala Avenue, Makati City, Metro Manila, Philippines 1226</w:t>
      </w:r>
    </w:p>
    <w:p>
      <w:pPr>
        <w:pStyle w:val="BodyText"/>
      </w:pPr>
      <w:r>
        <w:rPr>
          <w:bCs/>
          <w:b/>
        </w:rPr>
        <w:t xml:space="preserve">Tax Identification Number (TIN):</w:t>
      </w:r>
      <w:r>
        <w:t xml:space="preserve"> </w:t>
      </w:r>
      <w:r>
        <w:t xml:space="preserve">201-456-789-000</w:t>
      </w:r>
    </w:p>
    <w:p>
      <w:pPr>
        <w:pStyle w:val="BodyText"/>
      </w:pPr>
      <w:r>
        <w:rPr>
          <w:bCs/>
          <w:b/>
        </w:rPr>
        <w:t xml:space="preserve">Authorized Representative:</w:t>
      </w:r>
      <w:r>
        <w:t xml:space="preserve"> </w:t>
      </w:r>
      <w:r>
        <w:t xml:space="preserve">Dr. Maria L. Santos, Chief Operating Officer</w:t>
      </w:r>
    </w:p>
    <w:p>
      <w:pPr>
        <w:pStyle w:val="BodyText"/>
      </w:pPr>
      <w:r>
        <w:rPr>
          <w:bCs/>
          <w:b/>
        </w:rPr>
        <w:t xml:space="preserve">Contact Email:</w:t>
      </w:r>
      <w:r>
        <w:t xml:space="preserve"> </w:t>
      </w:r>
      <w:r>
        <w:t xml:space="preserve">procurement@mmedc-ph.com</w:t>
      </w:r>
    </w:p>
    <w:p>
      <w:pPr>
        <w:pStyle w:val="BodyText"/>
      </w:pPr>
      <w:r>
        <w:rPr>
          <w:bCs/>
          <w:b/>
        </w:rPr>
        <w:t xml:space="preserve">Contact Telephone:</w:t>
      </w:r>
      <w:r>
        <w:t xml:space="preserve"> </w:t>
      </w:r>
      <w:r>
        <w:t xml:space="preserve">+63 (2) 8887-4521</w:t>
      </w:r>
    </w:p>
    <w:p>
      <w:pPr>
        <w:pStyle w:val="BodyText"/>
      </w:pPr>
      <w:r>
        <w:t xml:space="preserve">2. Supplier / Service Provider (Vendor)</w:t>
      </w:r>
    </w:p>
    <w:p>
      <w:pPr>
        <w:pStyle w:val="BodyText"/>
      </w:pPr>
      <w:r>
        <w:rPr>
          <w:bCs/>
          <w:b/>
        </w:rPr>
        <w:t xml:space="preserve">Organization:</w:t>
      </w:r>
      <w:r>
        <w:t xml:space="preserve"> </w:t>
      </w:r>
      <w:r>
        <w:t xml:space="preserve">EduPro Administrative Solutions, Inc.</w:t>
      </w:r>
    </w:p>
    <w:p>
      <w:pPr>
        <w:pStyle w:val="BodyText"/>
      </w:pPr>
      <w:r>
        <w:rPr>
          <w:bCs/>
          <w:b/>
        </w:rPr>
        <w:t xml:space="preserve">Address:</w:t>
      </w:r>
      <w:r>
        <w:t xml:space="preserve"> </w:t>
      </w:r>
      <w:r>
        <w:t xml:space="preserve">45th Floor, The Podium, Ortigas Center, Pasig City, Metro Manila, Philippines 1600</w:t>
      </w:r>
    </w:p>
    <w:p>
      <w:pPr>
        <w:pStyle w:val="BodyText"/>
      </w:pPr>
      <w:r>
        <w:rPr>
          <w:bCs/>
          <w:b/>
        </w:rPr>
        <w:t xml:space="preserve">Tax Identification Number (TIN):</w:t>
      </w:r>
      <w:r>
        <w:t xml:space="preserve"> </w:t>
      </w:r>
      <w:r>
        <w:t xml:space="preserve">305-789-123-000</w:t>
      </w:r>
    </w:p>
    <w:p>
      <w:pPr>
        <w:pStyle w:val="BodyText"/>
      </w:pPr>
      <w:r>
        <w:rPr>
          <w:bCs/>
          <w:b/>
        </w:rPr>
        <w:t xml:space="preserve">Authorized Representative:</w:t>
      </w:r>
      <w:r>
        <w:t xml:space="preserve"> </w:t>
      </w:r>
      <w:r>
        <w:t xml:space="preserve">Mr. James R. Dela Cruz, Managing Director</w:t>
      </w:r>
    </w:p>
    <w:p>
      <w:pPr>
        <w:pStyle w:val="BodyText"/>
      </w:pPr>
      <w:r>
        <w:rPr>
          <w:bCs/>
          <w:b/>
        </w:rPr>
        <w:t xml:space="preserve">Contact Email:</w:t>
      </w:r>
      <w:r>
        <w:t xml:space="preserve"> </w:t>
      </w:r>
      <w:r>
        <w:t xml:space="preserve">contracts@edupro-solutions.com</w:t>
      </w:r>
    </w:p>
    <w:p>
      <w:pPr>
        <w:pStyle w:val="BodyText"/>
      </w:pPr>
      <w:r>
        <w:rPr>
          <w:bCs/>
          <w:b/>
        </w:rPr>
        <w:t xml:space="preserve">Contact Telephone:</w:t>
      </w:r>
      <w:r>
        <w:t xml:space="preserve"> </w:t>
      </w:r>
      <w:r>
        <w:t xml:space="preserve">+63 (2) 8555-9034</w:t>
      </w:r>
    </w:p>
    <w:p>
      <w:pPr>
        <w:pStyle w:val="BodyText"/>
      </w:pPr>
      <w:r>
        <w:t xml:space="preserve">3. Description of Goods / Services Procured</w:t>
      </w:r>
    </w:p>
    <w:p>
      <w:pPr>
        <w:pStyle w:val="BodyText"/>
      </w:pPr>
      <w:r>
        <w:t xml:space="preserve">This Purchase Order is issued by Metro Manila Educational Development Corporation for the procurement of a full-time</w:t>
      </w:r>
      <w:r>
        <w:t xml:space="preserve"> </w:t>
      </w:r>
      <w:r>
        <w:rPr>
          <w:bCs/>
          <w:b/>
        </w:rPr>
        <w:t xml:space="preserve">Education Administrator</w:t>
      </w:r>
      <w:r>
        <w:t xml:space="preserve"> </w:t>
      </w:r>
      <w:r>
        <w:t xml:space="preserve">to be deployed at the MMEDC headquarters and satellite campuses located in the Philippines Manila metropolitan area. The Education Administrator shall be responsible for the overall coordination of academic programs, curriculum development oversight, faculty scheduling, student records management, compliance with the Department of Education (DepEd) standards, and administrative operations across all MMEDC learning centers in Manila. The service engagement is structured as a twelve (12) month contract period commencing on 1 July 2025 and terminating on 30 June 2026, subject to renewal upon mutual written agreement of both parties.</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(PHP)</w:t>
            </w:r>
          </w:p>
        </w:tc>
        <w:tc>
          <w:tcPr/>
          <w:p>
            <w:pPr>
              <w:pStyle w:val="Compact"/>
              <w:jc w:val="left"/>
            </w:pPr>
            <w:r>
              <w:t xml:space="preserve">Amount (PHP)</w:t>
            </w:r>
          </w:p>
        </w:tc>
        <w:tc>
          <w:tcPr/>
          <w:p>
            <w:pPr>
              <w:pStyle w:val="Compact"/>
              <w:jc w:val="left"/>
            </w:pPr>
            <w:r>
              <w:t xml:space="preserve">Delivery / Start Date</w:t>
            </w:r>
          </w:p>
        </w:tc>
      </w:tr>
      <w:tr>
        <w:tc>
          <w:tcPr/>
          <w:p>
            <w:pPr>
              <w:pStyle w:val="Compact"/>
              <w:jc w:val="left"/>
            </w:pPr>
            <w:r>
              <w:t xml:space="preserve">01</w:t>
            </w:r>
          </w:p>
        </w:tc>
        <w:tc>
          <w:tcPr/>
          <w:p>
            <w:pPr>
              <w:pStyle w:val="Compact"/>
              <w:jc w:val="left"/>
            </w:pPr>
            <w:r>
              <w:t xml:space="preserve">Education Administrator – Full-Time Contract Services (Monthly Retainer, Philippines Manila deployment)</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c>
          <w:tcPr/>
          <w:p>
            <w:pPr>
              <w:pStyle w:val="Compact"/>
              <w:jc w:val="left"/>
            </w:pPr>
            <w:r>
              <w:t xml:space="preserve">01 July 2025</w:t>
            </w:r>
          </w:p>
        </w:tc>
      </w:tr>
      <w:tr>
        <w:tc>
          <w:tcPr/>
          <w:p>
            <w:pPr>
              <w:pStyle w:val="Compact"/>
              <w:jc w:val="left"/>
            </w:pPr>
            <w:r>
              <w:t xml:space="preserve">02</w:t>
            </w:r>
          </w:p>
        </w:tc>
        <w:tc>
          <w:tcPr/>
          <w:p>
            <w:pPr>
              <w:pStyle w:val="Compact"/>
              <w:jc w:val="left"/>
            </w:pPr>
            <w:r>
              <w:t xml:space="preserve">Onboarding, Orientation, and Institutional Familiarization Package for the Education Administrator</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01 July 2025</w:t>
            </w:r>
          </w:p>
        </w:tc>
      </w:tr>
      <w:tr>
        <w:tc>
          <w:tcPr/>
          <w:p>
            <w:pPr>
              <w:pStyle w:val="Compact"/>
              <w:jc w:val="left"/>
            </w:pPr>
            <w:r>
              <w:t xml:space="preserve">03</w:t>
            </w:r>
          </w:p>
        </w:tc>
        <w:tc>
          <w:tcPr/>
          <w:p>
            <w:pPr>
              <w:pStyle w:val="Compact"/>
              <w:jc w:val="left"/>
            </w:pPr>
            <w:r>
              <w:t xml:space="preserve">Annual Professional Development and DepEd Compliance Training for the Education Administrator</w:t>
            </w:r>
          </w:p>
        </w:tc>
        <w:tc>
          <w:tcPr/>
          <w:p>
            <w:pPr>
              <w:pStyle w:val="Compact"/>
              <w:jc w:val="left"/>
            </w:pPr>
            <w:r>
              <w:t xml:space="preserve">1 lot</w:t>
            </w:r>
          </w:p>
        </w:tc>
        <w:tc>
          <w:tcPr/>
          <w:p>
            <w:pPr>
              <w:pStyle w:val="Compact"/>
              <w:jc w:val="left"/>
            </w:pPr>
            <w:r>
              <w:t xml:space="preserve">₱38,500.00</w:t>
            </w:r>
          </w:p>
        </w:tc>
        <w:tc>
          <w:tcPr/>
          <w:p>
            <w:pPr>
              <w:pStyle w:val="Compact"/>
              <w:jc w:val="left"/>
            </w:pPr>
            <w:r>
              <w:t xml:space="preserve">₱38,500.00</w:t>
            </w:r>
          </w:p>
        </w:tc>
        <w:tc>
          <w:tcPr/>
          <w:p>
            <w:pPr>
              <w:pStyle w:val="Compact"/>
              <w:jc w:val="left"/>
            </w:pPr>
            <w:r>
              <w:t xml:space="preserve">15 August 2025</w:t>
            </w:r>
          </w:p>
        </w:tc>
      </w:tr>
      <w:tr>
        <w:tc>
          <w:tcPr/>
          <w:p>
            <w:pPr>
              <w:pStyle w:val="Compact"/>
              <w:jc w:val="left"/>
            </w:pPr>
            <w:r>
              <w:t xml:space="preserve">04</w:t>
            </w:r>
          </w:p>
        </w:tc>
        <w:tc>
          <w:tcPr/>
          <w:p>
            <w:pPr>
              <w:pStyle w:val="Compact"/>
              <w:jc w:val="left"/>
            </w:pPr>
            <w:r>
              <w:t xml:space="preserve">Administrative Tooling and Software Licenses (Student Information System, Scheduling Platform) assigned to the Education Administrator</w:t>
            </w:r>
          </w:p>
        </w:tc>
        <w:tc>
          <w:tcPr/>
          <w:p>
            <w:pPr>
              <w:pStyle w:val="Compact"/>
              <w:jc w:val="left"/>
            </w:pPr>
            <w:r>
              <w:t xml:space="preserve">1 set</w:t>
            </w:r>
          </w:p>
        </w:tc>
        <w:tc>
          <w:tcPr/>
          <w:p>
            <w:pPr>
              <w:pStyle w:val="Compact"/>
              <w:jc w:val="left"/>
            </w:pPr>
            <w:r>
              <w:t xml:space="preserve">₱62,000.00</w:t>
            </w:r>
          </w:p>
        </w:tc>
        <w:tc>
          <w:tcPr/>
          <w:p>
            <w:pPr>
              <w:pStyle w:val="Compact"/>
              <w:jc w:val="left"/>
            </w:pPr>
            <w:r>
              <w:t xml:space="preserve">₱62,000.00</w:t>
            </w:r>
          </w:p>
        </w:tc>
        <w:tc>
          <w:tcPr/>
          <w:p>
            <w:pPr>
              <w:pStyle w:val="Compact"/>
              <w:jc w:val="left"/>
            </w:pPr>
            <w:r>
              <w:t xml:space="preserve">01 July 2025</w:t>
            </w:r>
          </w:p>
        </w:tc>
      </w:tr>
      <w:tr>
        <w:tc>
          <w:tcPr/>
          <w:p>
            <w:pPr>
              <w:pStyle w:val="Compact"/>
              <w:jc w:val="left"/>
            </w:pPr>
            <w:r>
              <w:t xml:space="preserve">05</w:t>
            </w:r>
          </w:p>
        </w:tc>
        <w:tc>
          <w:tcPr/>
          <w:p>
            <w:pPr>
              <w:pStyle w:val="Compact"/>
              <w:jc w:val="left"/>
            </w:pPr>
            <w:r>
              <w:t xml:space="preserve">Quarterly Performance Review and Strategic Planning Sessions facilitated by EduPro for the Education Administrator role</w:t>
            </w:r>
          </w:p>
        </w:tc>
        <w:tc>
          <w:tcPr/>
          <w:p>
            <w:pPr>
              <w:pStyle w:val="Compact"/>
              <w:jc w:val="left"/>
            </w:pPr>
            <w:r>
              <w:t xml:space="preserve">4 sessions</w:t>
            </w:r>
          </w:p>
        </w:tc>
        <w:tc>
          <w:tcPr/>
          <w:p>
            <w:pPr>
              <w:pStyle w:val="Compact"/>
              <w:jc w:val="left"/>
            </w:pPr>
            <w:r>
              <w:t xml:space="preserve">₱15,000.00</w:t>
            </w:r>
          </w:p>
        </w:tc>
        <w:tc>
          <w:tcPr/>
          <w:p>
            <w:pPr>
              <w:pStyle w:val="Compact"/>
              <w:jc w:val="left"/>
            </w:pPr>
            <w:r>
              <w:t xml:space="preserve">₱60,000.00</w:t>
            </w:r>
          </w:p>
        </w:tc>
        <w:tc>
          <w:tcPr/>
          <w:p>
            <w:pPr>
              <w:pStyle w:val="Compact"/>
              <w:jc w:val="left"/>
            </w:pPr>
            <w:r>
              <w:t xml:space="preserve">Quarterly</w:t>
            </w:r>
          </w:p>
        </w:tc>
      </w:tr>
      <w:tr>
        <w:tc>
          <w:tcPr>
            <w:gridSpan w:val="4"/>
          </w:tcPr>
          <w:p>
            <w:pPr>
              <w:pStyle w:val="Compact"/>
              <w:jc w:val="right"/>
            </w:pPr>
            <w:r>
              <w:t xml:space="preserve">Subtotal:</w:t>
            </w:r>
          </w:p>
        </w:tc>
        <w:tc>
          <w:tcPr/>
          <w:p>
            <w:pPr>
              <w:pStyle w:val="Compact"/>
              <w:jc w:val="left"/>
            </w:pPr>
            <w:r>
              <w:t xml:space="preserve">₱2,425,500.00</w:t>
            </w:r>
          </w:p>
        </w:tc>
        <w:tc>
          <w:tcPr/>
          <w:p>
            <w:pPr>
              <w:pStyle w:val="Compact"/>
            </w:pPr>
          </w:p>
        </w:tc>
      </w:tr>
      <w:tr>
        <w:tc>
          <w:tcPr>
            <w:gridSpan w:val="4"/>
          </w:tcPr>
          <w:p>
            <w:pPr>
              <w:pStyle w:val="Compact"/>
              <w:jc w:val="right"/>
            </w:pPr>
            <w:r>
              <w:t xml:space="preserve">VAT (12%):</w:t>
            </w:r>
          </w:p>
        </w:tc>
        <w:tc>
          <w:tcPr/>
          <w:p>
            <w:pPr>
              <w:pStyle w:val="Compact"/>
              <w:jc w:val="left"/>
            </w:pPr>
            <w:r>
              <w:t xml:space="preserve">₱291,060.00</w:t>
            </w:r>
          </w:p>
        </w:tc>
        <w:tc>
          <w:tcPr/>
          <w:p>
            <w:pPr>
              <w:pStyle w:val="Compact"/>
            </w:pPr>
          </w:p>
        </w:tc>
      </w:tr>
      <w:tr>
        <w:tc>
          <w:tcPr>
            <w:gridSpan w:val="4"/>
          </w:tcPr>
          <w:p>
            <w:pPr>
              <w:pStyle w:val="Compact"/>
              <w:jc w:val="right"/>
            </w:pPr>
            <w:r>
              <w:rPr>
                <w:bCs/>
                <w:b/>
              </w:rPr>
              <w:t xml:space="preserve">TOTAL AMOUNT DUE (PHP):</w:t>
            </w:r>
          </w:p>
        </w:tc>
        <w:tc>
          <w:tcPr/>
          <w:p>
            <w:pPr>
              <w:pStyle w:val="Compact"/>
              <w:jc w:val="left"/>
            </w:pPr>
            <w:r>
              <w:rPr>
                <w:bCs/>
                <w:b/>
              </w:rPr>
              <w:t xml:space="preserve">₱2,716,560.00</w:t>
            </w:r>
          </w:p>
        </w:tc>
        <w:tc>
          <w:tcPr/>
          <w:p>
            <w:pPr>
              <w:pStyle w:val="Compact"/>
            </w:pPr>
          </w:p>
        </w:tc>
      </w:tr>
    </w:tbl>
    <w:p>
      <w:pPr>
        <w:pStyle w:val="BodyText"/>
      </w:pPr>
      <w:r>
        <w:t xml:space="preserve">5. Terms and Conditions</w:t>
      </w:r>
    </w:p>
    <w:p>
      <w:pPr>
        <w:pStyle w:val="BodyText"/>
      </w:pPr>
      <w:r>
        <w:rPr>
          <w:bCs/>
          <w:b/>
        </w:rPr>
        <w:t xml:space="preserve">5.1 Scope of Engagement.</w:t>
      </w:r>
      <w:r>
        <w:t xml:space="preserve"> </w:t>
      </w:r>
      <w:r>
        <w:t xml:space="preserve">The Education Administrator engaged under this Purchase Order shall perform all duties consistent with the role as defined in the attached Job Description Annex A. The Education Administrator shall report directly to the Chief Operating Officer of MMEDC and shall operate primarily from the Philippines Manila headquarters at Ayala Avenue, Makati City, with periodic travel to satellite campuses in Quezon City, Pasig City, and Taguig City as required.</w:t>
      </w:r>
    </w:p>
    <w:p>
      <w:pPr>
        <w:pStyle w:val="BodyText"/>
      </w:pPr>
      <w:r>
        <w:rPr>
          <w:bCs/>
          <w:b/>
        </w:rPr>
        <w:t xml:space="preserve">5.2 Payment Schedule.</w:t>
      </w:r>
      <w:r>
        <w:t xml:space="preserve"> </w:t>
      </w:r>
      <w:r>
        <w:t xml:space="preserve">Payment for the monthly retainer (Item 01) shall be made on a monthly basis, due within thirty (30) calendar days from the date of invoice submission. One-time items (Items 02, 03, and 04) shall be invoiced upon completion of the respective deliverable. Quarterly review sessions (Item 05) shall be invoiced per session upon completion. All payments shall be made via bank transfer to the account designated by EduPro Administrative Solutions, Inc.</w:t>
      </w:r>
    </w:p>
    <w:p>
      <w:pPr>
        <w:pStyle w:val="BodyText"/>
      </w:pPr>
      <w:r>
        <w:rPr>
          <w:bCs/>
          <w:b/>
        </w:rPr>
        <w:t xml:space="preserve">5.3 Compliance and Regulatory Adherence.</w:t>
      </w:r>
      <w:r>
        <w:t xml:space="preserve"> </w:t>
      </w:r>
      <w:r>
        <w:t xml:space="preserve">The Education Administrator shall ensure full compliance with all applicable laws and regulations of the Republic of the Philippines, including but not limited to the Data Privacy Act of 2012 (RA 10173), the Labor Code of the Philippines, and all Department of Education (DepEd) circulars and memoranda governing administrative operations in the Philippines Manila region.</w:t>
      </w:r>
    </w:p>
    <w:p>
      <w:pPr>
        <w:pStyle w:val="BodyText"/>
      </w:pPr>
      <w:r>
        <w:rPr>
          <w:bCs/>
          <w:b/>
        </w:rPr>
        <w:t xml:space="preserve">5.4 Termination.</w:t>
      </w:r>
      <w:r>
        <w:t xml:space="preserve"> </w:t>
      </w:r>
      <w:r>
        <w:t xml:space="preserve">Either party may terminate this Purchase Order with a written notice of thirty (30) days. In the event of termination for convenience, MMEDC shall pay for all services rendered up to the effective date of termination. In the event of termination for cause, the terminating party shall provide a detailed written explanation of the grounds for termination.</w:t>
      </w:r>
    </w:p>
    <w:p>
      <w:pPr>
        <w:pStyle w:val="BodyText"/>
      </w:pPr>
      <w:r>
        <w:rPr>
          <w:bCs/>
          <w:b/>
        </w:rPr>
        <w:t xml:space="preserve">5.5 Confidentiality.</w:t>
      </w:r>
      <w:r>
        <w:t xml:space="preserve"> </w:t>
      </w:r>
      <w:r>
        <w:t xml:space="preserve">The Education Administrator shall maintain strict confidentiality regarding all student records, institutional data, financial information, and proprietary materials encountered during the course of employment in the Philippines Manila operations. This obligation shall survive the termination of this Purchase Order for a period of two (2) years.</w:t>
      </w:r>
    </w:p>
    <w:p>
      <w:pPr>
        <w:pStyle w:val="BodyText"/>
      </w:pPr>
      <w:r>
        <w:rPr>
          <w:bCs/>
          <w:b/>
        </w:rPr>
        <w:t xml:space="preserve">5.6 Dispute Resolution.</w:t>
      </w:r>
      <w:r>
        <w:t xml:space="preserve"> </w:t>
      </w:r>
      <w:r>
        <w:t xml:space="preserve">Any disputes arising from this Purchase Order shall be resolved through amicable negotiation. Should negotiation fail, the matter shall be submitted to arbitration under the rules of the Philippine Dispute Resolution Center, Inc. (PDRCI) in Manila, Philippines. The prevailing language for all proceedings shall be English.</w:t>
      </w:r>
    </w:p>
    <w:p>
      <w:pPr>
        <w:pStyle w:val="BodyText"/>
      </w:pPr>
      <w:r>
        <w:rPr>
          <w:bCs/>
          <w:b/>
        </w:rPr>
        <w:t xml:space="preserve">5.7 Governing Law.</w:t>
      </w:r>
      <w:r>
        <w:t xml:space="preserve"> </w:t>
      </w:r>
      <w:r>
        <w:t xml:space="preserve">This Purchase Order shall be governed by and construed in accordance with the laws of the Republic of the Philippines. The venue for any legal action shall be the courts of Metro Manila, Philippines.</w:t>
      </w:r>
    </w:p>
    <w:p>
      <w:pPr>
        <w:pStyle w:val="BodyText"/>
      </w:pPr>
      <w:r>
        <w:t xml:space="preserve">6. Acceptance and Authorization</w:t>
      </w:r>
    </w:p>
    <w:p>
      <w:pPr>
        <w:pStyle w:val="BodyText"/>
      </w:pPr>
      <w:r>
        <w:t xml:space="preserve">By signing below, both parties acknowledge and agree to all terms, conditions, and specifications outlined in this Purchase Order for the Education Administrator services in the Philippines Manila region. This document constitutes a binding agreement upon execution by both authorized representatives.</w:t>
      </w:r>
    </w:p>
    <w:p>
      <w:pPr>
        <w:pStyle w:val="BodyText"/>
      </w:pPr>
      <w:r>
        <w:rPr>
          <w:bCs/>
          <w:b/>
        </w:rPr>
        <w:t xml:space="preserve">For: Metro Manila Educational Development Corporation</w:t>
      </w:r>
    </w:p>
    <w:p>
      <w:pPr>
        <w:pStyle w:val="BodyText"/>
      </w:pPr>
      <w:r>
        <w:t xml:space="preserve">Dr. Maria L. Santos</w:t>
      </w:r>
      <w:r>
        <w:br/>
      </w:r>
      <w:r>
        <w:t xml:space="preserve">Chief Operating Officer</w:t>
      </w:r>
      <w:r>
        <w:br/>
      </w:r>
      <w:r>
        <w:t xml:space="preserve">Date: _______________</w:t>
      </w:r>
    </w:p>
    <w:p>
      <w:pPr>
        <w:pStyle w:val="BodyText"/>
      </w:pPr>
      <w:r>
        <w:rPr>
          <w:bCs/>
          <w:b/>
        </w:rPr>
        <w:t xml:space="preserve">For: EduPro Administrative Solutions, Inc.</w:t>
      </w:r>
    </w:p>
    <w:p>
      <w:pPr>
        <w:pStyle w:val="BodyText"/>
      </w:pPr>
      <w:r>
        <w:t xml:space="preserve">Mr. James R. Dela Cruz</w:t>
      </w:r>
      <w:r>
        <w:br/>
      </w:r>
      <w:r>
        <w:t xml:space="preserve">Managing Director</w:t>
      </w:r>
      <w:r>
        <w:br/>
      </w:r>
      <w:r>
        <w:t xml:space="preserve">Date: _______________</w:t>
      </w:r>
    </w:p>
    <w:p>
      <w:pPr>
        <w:pStyle w:val="BodyText"/>
      </w:pPr>
      <w:r>
        <w:t xml:space="preserve">This Purchase Order (No. MNL-EDU-2025-0472) is issued for the procurement of Education Administrator services in the Philippines Manila region. Document reference: MMEDC-PROC-2025-0472. This document is valid for a period of ninety (90) days from the date of issue. Unauthorized reproduction or distribution of this Purchase Order is strictly prohibited.</w:t>
      </w:r>
    </w:p>
    <w:p>
      <w:pPr>
        <w:pStyle w:val="BodyText"/>
      </w:pPr>
      <w:r>
        <w:t xml:space="preserve">© 2025 Metro Manila Educational Development Corporation.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Philippines Manila</dc:title>
  <dc:creator/>
  <dc:language>en</dc:language>
  <cp:keywords/>
  <dcterms:created xsi:type="dcterms:W3CDTF">2026-10-10T03:09:36Z</dcterms:created>
  <dcterms:modified xsi:type="dcterms:W3CDTF">2026-10-10T03:09:36Z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